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44CF24" w14:textId="77777777" w:rsidR="00110302" w:rsidRDefault="00110302">
      <w:pPr>
        <w:jc w:val="left"/>
        <w:rPr>
          <w:b/>
        </w:rPr>
      </w:pPr>
    </w:p>
    <w:p w14:paraId="1DCB6688" w14:textId="77777777" w:rsidR="00110302" w:rsidRDefault="0081674D">
      <w:pPr>
        <w:jc w:val="right"/>
        <w:rPr>
          <w:b/>
          <w:sz w:val="20"/>
          <w:szCs w:val="20"/>
        </w:rPr>
      </w:pPr>
      <w:r>
        <w:rPr>
          <w:b/>
          <w:sz w:val="20"/>
          <w:szCs w:val="20"/>
        </w:rPr>
        <w:t>INFORME ESPECIAL</w:t>
      </w:r>
    </w:p>
    <w:p w14:paraId="1F2929B4" w14:textId="77777777" w:rsidR="00110302" w:rsidRDefault="0081674D">
      <w:pPr>
        <w:jc w:val="right"/>
        <w:rPr>
          <w:b/>
          <w:sz w:val="20"/>
          <w:szCs w:val="20"/>
        </w:rPr>
      </w:pPr>
      <w:r>
        <w:rPr>
          <w:b/>
          <w:sz w:val="20"/>
          <w:szCs w:val="20"/>
        </w:rPr>
        <w:t>26 de marzo 2025</w:t>
      </w:r>
    </w:p>
    <w:p w14:paraId="09319E02" w14:textId="77777777" w:rsidR="00110302" w:rsidRDefault="00110302">
      <w:pPr>
        <w:jc w:val="right"/>
        <w:rPr>
          <w:b/>
        </w:rPr>
      </w:pPr>
    </w:p>
    <w:p w14:paraId="4F876E5E" w14:textId="77777777" w:rsidR="002F1E7B" w:rsidRDefault="002F1E7B">
      <w:pPr>
        <w:jc w:val="center"/>
        <w:rPr>
          <w:b/>
          <w:sz w:val="24"/>
          <w:szCs w:val="24"/>
        </w:rPr>
      </w:pPr>
      <w:r>
        <w:rPr>
          <w:b/>
          <w:sz w:val="24"/>
          <w:szCs w:val="24"/>
        </w:rPr>
        <w:t xml:space="preserve">¿Fin de las moratorias? Qué hacen otros países </w:t>
      </w:r>
    </w:p>
    <w:p w14:paraId="19A1FC78" w14:textId="77777777" w:rsidR="00110302" w:rsidRDefault="0081674D">
      <w:pPr>
        <w:jc w:val="center"/>
        <w:rPr>
          <w:b/>
          <w:sz w:val="24"/>
          <w:szCs w:val="24"/>
        </w:rPr>
      </w:pPr>
      <w:r>
        <w:rPr>
          <w:b/>
          <w:sz w:val="24"/>
          <w:szCs w:val="24"/>
        </w:rPr>
        <w:t>con quienes no completaron sus aportes</w:t>
      </w:r>
    </w:p>
    <w:p w14:paraId="765F45C8" w14:textId="77777777" w:rsidR="00110302" w:rsidRDefault="00110302">
      <w:pPr>
        <w:jc w:val="center"/>
        <w:rPr>
          <w:b/>
        </w:rPr>
      </w:pPr>
    </w:p>
    <w:p w14:paraId="400500B8" w14:textId="77777777" w:rsidR="00110302" w:rsidRDefault="0081674D">
      <w:pPr>
        <w:jc w:val="center"/>
        <w:rPr>
          <w:b/>
        </w:rPr>
      </w:pPr>
      <w:r>
        <w:rPr>
          <w:b/>
        </w:rPr>
        <w:t xml:space="preserve">El pasado 23 de marzo venció una de las moratorias que permitía comprar aportes descontando el pago de la propia jubilación. ¿Qué tan común es esta posibilidad en otros países de Latinoamérica y qué alternativas quedan en Argentina? </w:t>
      </w:r>
    </w:p>
    <w:p w14:paraId="1AF95E73" w14:textId="77777777" w:rsidR="00110302" w:rsidRDefault="00110302">
      <w:pPr>
        <w:jc w:val="left"/>
        <w:rPr>
          <w:b/>
        </w:rPr>
      </w:pPr>
    </w:p>
    <w:p w14:paraId="6BA91FD1" w14:textId="77777777" w:rsidR="00110302" w:rsidRDefault="0081674D">
      <w:r>
        <w:t>Los sistemas previsio</w:t>
      </w:r>
      <w:r>
        <w:t>nales en el mundo suelen pedir un mínimo de años aportados o que se llegue a un monto mínimo de aportes, para poder así garantizar un buen haber a la hora de jubilarse. Estos aportes suelen provenir del trabajo formal.</w:t>
      </w:r>
    </w:p>
    <w:p w14:paraId="52367E0D" w14:textId="77777777" w:rsidR="00110302" w:rsidRDefault="00110302"/>
    <w:p w14:paraId="0F8E8C92" w14:textId="77777777" w:rsidR="00110302" w:rsidRDefault="0081674D">
      <w:r>
        <w:t>El problema surge cuando los trabaja</w:t>
      </w:r>
      <w:r>
        <w:t>dores no alcanzan ese mínimo, ya sea por desempleo, inactividad o empleo informal, donde no se registran aportes. Esto es especialmente común en países con problemas laborales, como Argentina y gran parte de América Latina.</w:t>
      </w:r>
    </w:p>
    <w:p w14:paraId="6AB37A54" w14:textId="77777777" w:rsidR="00110302" w:rsidRDefault="00110302"/>
    <w:p w14:paraId="0268D8B0" w14:textId="77777777" w:rsidR="00110302" w:rsidRDefault="0081674D">
      <w:r>
        <w:t>En Argentina, el problema se ag</w:t>
      </w:r>
      <w:r>
        <w:t>rava porque además de la baja cantidad de aportantes, se exige un piso estricto de 30 años aportados. La respuesta del Estado fue implementar moratorias, que permiten a los trabajadores regularizar su situación “comprando” los años de aportes que les falta</w:t>
      </w:r>
      <w:r>
        <w:t>n.</w:t>
      </w:r>
    </w:p>
    <w:p w14:paraId="0B4D8832" w14:textId="77777777" w:rsidR="00110302" w:rsidRDefault="00110302"/>
    <w:p w14:paraId="386E98BE" w14:textId="77777777" w:rsidR="00110302" w:rsidRDefault="0081674D">
      <w:r>
        <w:t>¿Es esto lo habitual en otros países?</w:t>
      </w:r>
    </w:p>
    <w:p w14:paraId="05E692CD" w14:textId="77777777" w:rsidR="00110302" w:rsidRDefault="00110302"/>
    <w:p w14:paraId="799A683C" w14:textId="77777777" w:rsidR="00110302" w:rsidRDefault="0081674D">
      <w:pPr>
        <w:rPr>
          <w:b/>
          <w:sz w:val="24"/>
          <w:szCs w:val="24"/>
        </w:rPr>
      </w:pPr>
      <w:r>
        <w:rPr>
          <w:b/>
          <w:sz w:val="24"/>
          <w:szCs w:val="24"/>
        </w:rPr>
        <w:t>Qué sucede en América Latina</w:t>
      </w:r>
    </w:p>
    <w:p w14:paraId="339DB49E" w14:textId="77777777" w:rsidR="00110302" w:rsidRDefault="00110302"/>
    <w:p w14:paraId="4426DDC0" w14:textId="77777777" w:rsidR="00110302" w:rsidRDefault="0081674D">
      <w:r>
        <w:t>Al relevar los sistemas previsionales de América Latina, se observa que todos los países ofrecen alternativas para quienes no cuentan con aportes completos. Como sociedad, se consider</w:t>
      </w:r>
      <w:r>
        <w:t>a inaceptable que las personas mayores queden sin ingresos, hayan aportado o no. Sin embargo, las soluciones varían según el país:</w:t>
      </w:r>
    </w:p>
    <w:p w14:paraId="2215EC1D" w14:textId="77777777" w:rsidR="000E1639" w:rsidRDefault="000E1639" w:rsidP="000E1639">
      <w:pPr>
        <w:jc w:val="center"/>
        <w:rPr>
          <w:b/>
        </w:rPr>
      </w:pPr>
    </w:p>
    <w:p w14:paraId="3E0FD473" w14:textId="77777777" w:rsidR="000E1639" w:rsidRDefault="000E1639" w:rsidP="000E1639">
      <w:pPr>
        <w:jc w:val="center"/>
        <w:rPr>
          <w:b/>
        </w:rPr>
      </w:pPr>
      <w:r>
        <w:rPr>
          <w:b/>
        </w:rPr>
        <w:t>Gráfico 1. Alternativas para quienes no cuentan con aportes completos.</w:t>
      </w:r>
    </w:p>
    <w:p w14:paraId="0056174C" w14:textId="77777777" w:rsidR="000E1639" w:rsidRDefault="000E1639" w:rsidP="000E1639">
      <w:pPr>
        <w:jc w:val="center"/>
      </w:pPr>
      <w:r>
        <w:rPr>
          <w:b/>
        </w:rPr>
        <w:t>% de países de América Latina</w:t>
      </w:r>
    </w:p>
    <w:p w14:paraId="01C87815" w14:textId="77777777" w:rsidR="000E1639" w:rsidRPr="000E1639" w:rsidRDefault="000E1639" w:rsidP="000E1639">
      <w:pPr>
        <w:jc w:val="center"/>
        <w:rPr>
          <w:b/>
          <w:bCs/>
        </w:rPr>
      </w:pPr>
      <w:r>
        <w:rPr>
          <w:noProof/>
        </w:rPr>
        <w:drawing>
          <wp:inline distT="0" distB="0" distL="0" distR="0" wp14:anchorId="234579DA" wp14:editId="3B607444">
            <wp:extent cx="2435860" cy="2053988"/>
            <wp:effectExtent l="0" t="0" r="2540" b="3810"/>
            <wp:docPr id="1924154045" name="Gráfico 1">
              <a:extLst xmlns:a="http://schemas.openxmlformats.org/drawingml/2006/main">
                <a:ext uri="{FF2B5EF4-FFF2-40B4-BE49-F238E27FC236}">
                  <a16:creationId xmlns:a16="http://schemas.microsoft.com/office/drawing/2014/main" id="{E57D33F3-1A0E-6781-062C-AB36F0FCD67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02B37D53" w14:textId="77777777" w:rsidR="000E1639" w:rsidRDefault="000E1639" w:rsidP="000E1639">
      <w:pPr>
        <w:jc w:val="center"/>
        <w:rPr>
          <w:sz w:val="20"/>
          <w:szCs w:val="20"/>
        </w:rPr>
      </w:pPr>
      <w:r w:rsidRPr="000E1639">
        <w:rPr>
          <w:b/>
          <w:bCs/>
          <w:sz w:val="20"/>
          <w:szCs w:val="20"/>
        </w:rPr>
        <w:t>Fuente:</w:t>
      </w:r>
      <w:r>
        <w:rPr>
          <w:sz w:val="20"/>
          <w:szCs w:val="20"/>
        </w:rPr>
        <w:t xml:space="preserve"> Idesa en base a </w:t>
      </w:r>
      <w:r w:rsidR="008371ED">
        <w:rPr>
          <w:sz w:val="20"/>
          <w:szCs w:val="20"/>
        </w:rPr>
        <w:t>relevamiento propio</w:t>
      </w:r>
      <w:r>
        <w:rPr>
          <w:sz w:val="20"/>
          <w:szCs w:val="20"/>
        </w:rPr>
        <w:t>.</w:t>
      </w:r>
    </w:p>
    <w:p w14:paraId="3ADB83C7" w14:textId="77777777" w:rsidR="00110302" w:rsidRPr="000E1639" w:rsidRDefault="00110302">
      <w:pPr>
        <w:rPr>
          <w:b/>
          <w:bCs/>
        </w:rPr>
      </w:pPr>
    </w:p>
    <w:p w14:paraId="125B2A72" w14:textId="77777777" w:rsidR="00110302" w:rsidRDefault="0081674D">
      <w:pPr>
        <w:numPr>
          <w:ilvl w:val="0"/>
          <w:numId w:val="3"/>
        </w:numPr>
        <w:pBdr>
          <w:top w:val="nil"/>
          <w:left w:val="nil"/>
          <w:bottom w:val="nil"/>
          <w:right w:val="nil"/>
          <w:between w:val="nil"/>
        </w:pBdr>
        <w:spacing w:line="259" w:lineRule="auto"/>
        <w:rPr>
          <w:color w:val="000000"/>
        </w:rPr>
      </w:pPr>
      <w:r>
        <w:rPr>
          <w:b/>
          <w:color w:val="000000"/>
        </w:rPr>
        <w:t>Prestación no contributiva:</w:t>
      </w:r>
      <w:r>
        <w:rPr>
          <w:color w:val="000000"/>
        </w:rPr>
        <w:t xml:space="preserve"> Es una ayuda social destinada a adultos mayores, diferente a una jubilación y de un monto menor. El objetivo es no dejar desamparado a nadie, pero tampoco romper los incentivos a aportar. El </w:t>
      </w:r>
      <w:r w:rsidRPr="000E1639">
        <w:rPr>
          <w:b/>
          <w:bCs/>
          <w:color w:val="000000"/>
        </w:rPr>
        <w:t>89%</w:t>
      </w:r>
      <w:r>
        <w:rPr>
          <w:color w:val="000000"/>
        </w:rPr>
        <w:t xml:space="preserve"> de los países ofrece este tipo de prestación (excepto Honduras y Nicaragua).</w:t>
      </w:r>
    </w:p>
    <w:p w14:paraId="4E781B99" w14:textId="77777777" w:rsidR="00110302" w:rsidRDefault="0081674D">
      <w:pPr>
        <w:numPr>
          <w:ilvl w:val="0"/>
          <w:numId w:val="3"/>
        </w:numPr>
        <w:pBdr>
          <w:top w:val="nil"/>
          <w:left w:val="nil"/>
          <w:bottom w:val="nil"/>
          <w:right w:val="nil"/>
          <w:between w:val="nil"/>
        </w:pBdr>
        <w:spacing w:line="259" w:lineRule="auto"/>
        <w:rPr>
          <w:color w:val="000000"/>
        </w:rPr>
      </w:pPr>
      <w:r>
        <w:rPr>
          <w:b/>
          <w:color w:val="000000"/>
        </w:rPr>
        <w:t>Jubilación proporcional:</w:t>
      </w:r>
      <w:r>
        <w:rPr>
          <w:color w:val="000000"/>
        </w:rPr>
        <w:t xml:space="preserve"> Permite acceder a una </w:t>
      </w:r>
      <w:proofErr w:type="gramStart"/>
      <w:r>
        <w:rPr>
          <w:color w:val="000000"/>
        </w:rPr>
        <w:t>jubilación</w:t>
      </w:r>
      <w:proofErr w:type="gramEnd"/>
      <w:r>
        <w:rPr>
          <w:color w:val="000000"/>
        </w:rPr>
        <w:t xml:space="preserve"> aunque no se cumpla con el total de años de aportes requeridos, ajustando el monto según los años efectivamente aportado</w:t>
      </w:r>
      <w:r>
        <w:rPr>
          <w:color w:val="000000"/>
        </w:rPr>
        <w:t xml:space="preserve">s. Está presente en el </w:t>
      </w:r>
      <w:r w:rsidRPr="000E1639">
        <w:rPr>
          <w:b/>
          <w:bCs/>
          <w:color w:val="000000"/>
        </w:rPr>
        <w:t>61%</w:t>
      </w:r>
      <w:r>
        <w:rPr>
          <w:color w:val="000000"/>
        </w:rPr>
        <w:t xml:space="preserve"> de los países.</w:t>
      </w:r>
    </w:p>
    <w:p w14:paraId="70C7A1A8" w14:textId="77777777" w:rsidR="00110302" w:rsidRDefault="0081674D">
      <w:pPr>
        <w:numPr>
          <w:ilvl w:val="0"/>
          <w:numId w:val="3"/>
        </w:numPr>
        <w:pBdr>
          <w:top w:val="nil"/>
          <w:left w:val="nil"/>
          <w:bottom w:val="nil"/>
          <w:right w:val="nil"/>
          <w:between w:val="nil"/>
        </w:pBdr>
        <w:spacing w:line="259" w:lineRule="auto"/>
        <w:rPr>
          <w:color w:val="000000"/>
        </w:rPr>
      </w:pPr>
      <w:r>
        <w:rPr>
          <w:b/>
          <w:color w:val="000000"/>
        </w:rPr>
        <w:t>Compra de aportes de manera retroactiva:</w:t>
      </w:r>
      <w:r>
        <w:rPr>
          <w:color w:val="000000"/>
        </w:rPr>
        <w:t xml:space="preserve"> Es menos frecuente (</w:t>
      </w:r>
      <w:r w:rsidRPr="000E1639">
        <w:rPr>
          <w:b/>
          <w:bCs/>
          <w:color w:val="000000"/>
        </w:rPr>
        <w:t>22%</w:t>
      </w:r>
      <w:r>
        <w:rPr>
          <w:color w:val="000000"/>
        </w:rPr>
        <w:t>) y, cuando existe, suele exigir pruebas de que se trabajó en los períodos a regularizar.</w:t>
      </w:r>
    </w:p>
    <w:p w14:paraId="3591AB82" w14:textId="77777777" w:rsidR="00110302" w:rsidRDefault="0081674D">
      <w:pPr>
        <w:numPr>
          <w:ilvl w:val="0"/>
          <w:numId w:val="3"/>
        </w:numPr>
        <w:pBdr>
          <w:top w:val="nil"/>
          <w:left w:val="nil"/>
          <w:bottom w:val="nil"/>
          <w:right w:val="nil"/>
          <w:between w:val="nil"/>
        </w:pBdr>
        <w:spacing w:after="160" w:line="259" w:lineRule="auto"/>
        <w:rPr>
          <w:color w:val="000000"/>
        </w:rPr>
      </w:pPr>
      <w:r>
        <w:rPr>
          <w:b/>
          <w:color w:val="000000"/>
        </w:rPr>
        <w:t>Pensión por fallecimiento:</w:t>
      </w:r>
      <w:r>
        <w:rPr>
          <w:color w:val="000000"/>
        </w:rPr>
        <w:t xml:space="preserve"> </w:t>
      </w:r>
      <w:r>
        <w:t xml:space="preserve">Si bien no apunta directamente a </w:t>
      </w:r>
      <w:r>
        <w:t>quienes no aportaron, es una vía por la que muchas personas sin historial contributivo acceden a ingresos en la vejez.</w:t>
      </w:r>
      <w:r>
        <w:rPr>
          <w:color w:val="000000"/>
        </w:rPr>
        <w:t xml:space="preserve"> Si una persona jubilada fallece, su cónyuge puede acceder a una pensión. Esta alternativa existe en </w:t>
      </w:r>
      <w:r>
        <w:t xml:space="preserve">todos </w:t>
      </w:r>
      <w:r>
        <w:rPr>
          <w:color w:val="000000"/>
        </w:rPr>
        <w:t xml:space="preserve">los países </w:t>
      </w:r>
      <w:r>
        <w:t>de la región</w:t>
      </w:r>
      <w:r>
        <w:rPr>
          <w:color w:val="000000"/>
        </w:rPr>
        <w:t>.</w:t>
      </w:r>
    </w:p>
    <w:p w14:paraId="306D6F45" w14:textId="77777777" w:rsidR="00110302" w:rsidRDefault="0081674D">
      <w:pPr>
        <w:rPr>
          <w:b/>
          <w:sz w:val="24"/>
          <w:szCs w:val="24"/>
        </w:rPr>
      </w:pPr>
      <w:r>
        <w:rPr>
          <w:b/>
          <w:sz w:val="24"/>
          <w:szCs w:val="24"/>
        </w:rPr>
        <w:t>Las mo</w:t>
      </w:r>
      <w:r>
        <w:rPr>
          <w:b/>
          <w:sz w:val="24"/>
          <w:szCs w:val="24"/>
        </w:rPr>
        <w:t>ratorias argentinas</w:t>
      </w:r>
    </w:p>
    <w:p w14:paraId="71528A1F" w14:textId="77777777" w:rsidR="00110302" w:rsidRDefault="00110302"/>
    <w:p w14:paraId="0689C239" w14:textId="77777777" w:rsidR="00110302" w:rsidRDefault="0081674D">
      <w:r>
        <w:t>Hacia 2005, solo el 65% de la población accedía a una jubilación, en su mayoría hombres. El problema de política era claro: poco empleo registrado, pocos aportes y un requisito estricto de 30 años de servicio.</w:t>
      </w:r>
    </w:p>
    <w:p w14:paraId="6DECBB07" w14:textId="77777777" w:rsidR="00110302" w:rsidRDefault="00110302"/>
    <w:p w14:paraId="2DCFEFD5" w14:textId="77777777" w:rsidR="00110302" w:rsidRDefault="0081674D">
      <w:r>
        <w:t>La solución lógica habrí</w:t>
      </w:r>
      <w:r>
        <w:t>a sido flexibilizar ese requisito, como hacen muchos países. En cambio, se adoptó una medida drástica e irresponsable: el Decreto 1454/2005 habilitó las llamadas moratorias, permitiendo a quienes no tenían los años necesarios de aportes simular haber traba</w:t>
      </w:r>
      <w:r>
        <w:t>jado como autónomos y pagar los aportes retroactivos en hasta 60 cuotas descontadas de la propia jubilación.</w:t>
      </w:r>
    </w:p>
    <w:p w14:paraId="1D3094A0" w14:textId="77777777" w:rsidR="00110302" w:rsidRDefault="00110302"/>
    <w:p w14:paraId="6BC27439" w14:textId="77777777" w:rsidR="00110302" w:rsidRDefault="0081674D">
      <w:r>
        <w:t>A diferencia de lo que ocurre, por ejemplo, en otros lugares de América Latina, no se exigió probar que efectivamente se había trabajado. Así, cua</w:t>
      </w:r>
      <w:r>
        <w:t>lquier persona, sin importar cuántos aportes le faltaran ni su situación económica, podía acceder a una jubilación contributiva, igual que quien aportó toda su vida. Un esquema inédito a nivel mundial.</w:t>
      </w:r>
    </w:p>
    <w:p w14:paraId="1DF18E18" w14:textId="77777777" w:rsidR="00110302" w:rsidRDefault="00110302">
      <w:pPr>
        <w:jc w:val="left"/>
      </w:pPr>
    </w:p>
    <w:p w14:paraId="56E4EB09" w14:textId="77777777" w:rsidR="00110302" w:rsidRDefault="0081674D">
      <w:r>
        <w:t>Como la moratoria sólo permitía regularizar años prev</w:t>
      </w:r>
      <w:r>
        <w:t>ios a 1993, con el tiempo fue perdiendo alcance</w:t>
      </w:r>
      <w:r>
        <w:rPr>
          <w:vertAlign w:val="superscript"/>
        </w:rPr>
        <w:footnoteReference w:id="1"/>
      </w:r>
      <w:r>
        <w:t>. Por eso se dictaron nuevas normas: en 2014, la Ley 26.970 amplió los años regularizables e incorporó una evaluación socioeconómica. En 2016, 2019 y 2022 se prorrogó, aunque solo para mujeres.</w:t>
      </w:r>
    </w:p>
    <w:p w14:paraId="27199A94" w14:textId="77777777" w:rsidR="00110302" w:rsidRDefault="00110302"/>
    <w:p w14:paraId="1C4BDF3B" w14:textId="77777777" w:rsidR="00110302" w:rsidRDefault="0081674D">
      <w:r>
        <w:t xml:space="preserve">En 2023, el </w:t>
      </w:r>
      <w:r>
        <w:t xml:space="preserve">Congreso aprobó la Ley 27.705, con controles patrimoniales y válida tanto para hombres como para mujeres. Apuntó a dos grupos: quienes están a menos de 10 años de la edad jubilatoria y saben que no llegarán a los 30 años, y quienes ya tienen la </w:t>
      </w:r>
      <w:proofErr w:type="gramStart"/>
      <w:r>
        <w:t>edad</w:t>
      </w:r>
      <w:proofErr w:type="gramEnd"/>
      <w:r>
        <w:t xml:space="preserve"> pero n</w:t>
      </w:r>
      <w:r>
        <w:t>o los aportes suficientes. Esta última opción es la que acaba de vencer.</w:t>
      </w:r>
    </w:p>
    <w:p w14:paraId="25BFAE81" w14:textId="77777777" w:rsidR="001F7602" w:rsidRDefault="001F7602"/>
    <w:p w14:paraId="45965D0F" w14:textId="77777777" w:rsidR="001F7602" w:rsidRDefault="001F7602"/>
    <w:p w14:paraId="347CEC41" w14:textId="77777777" w:rsidR="00110302" w:rsidRDefault="0081674D">
      <w:pPr>
        <w:jc w:val="center"/>
      </w:pPr>
      <w:r>
        <w:rPr>
          <w:b/>
        </w:rPr>
        <w:lastRenderedPageBreak/>
        <w:t>Figura 1. Moratorias previsionales – Línea de tiempo</w:t>
      </w:r>
    </w:p>
    <w:p w14:paraId="3780515B" w14:textId="77777777" w:rsidR="00110302" w:rsidRDefault="00013877">
      <w:pPr>
        <w:jc w:val="center"/>
      </w:pPr>
      <w:r>
        <w:rPr>
          <w:noProof/>
        </w:rPr>
        <w:drawing>
          <wp:inline distT="0" distB="0" distL="0" distR="0" wp14:anchorId="7E5926E5" wp14:editId="3D36295C">
            <wp:extent cx="4410075" cy="1677771"/>
            <wp:effectExtent l="0" t="0" r="0" b="0"/>
            <wp:docPr id="21244795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410075" cy="1677771"/>
                    </a:xfrm>
                    <a:prstGeom prst="rect">
                      <a:avLst/>
                    </a:prstGeom>
                    <a:noFill/>
                    <a:ln>
                      <a:noFill/>
                    </a:ln>
                  </pic:spPr>
                </pic:pic>
              </a:graphicData>
            </a:graphic>
          </wp:inline>
        </w:drawing>
      </w:r>
    </w:p>
    <w:p w14:paraId="50BDDE6F" w14:textId="77777777" w:rsidR="00110302" w:rsidRDefault="0081674D">
      <w:pPr>
        <w:jc w:val="center"/>
        <w:rPr>
          <w:sz w:val="20"/>
          <w:szCs w:val="20"/>
        </w:rPr>
      </w:pPr>
      <w:r w:rsidRPr="000E1639">
        <w:rPr>
          <w:b/>
          <w:bCs/>
          <w:sz w:val="20"/>
          <w:szCs w:val="20"/>
        </w:rPr>
        <w:t>Fuente:</w:t>
      </w:r>
      <w:r>
        <w:rPr>
          <w:sz w:val="20"/>
          <w:szCs w:val="20"/>
        </w:rPr>
        <w:t xml:space="preserve"> Idesa en base a Anses.</w:t>
      </w:r>
    </w:p>
    <w:p w14:paraId="1F0B2204" w14:textId="77777777" w:rsidR="00110302" w:rsidRPr="005657F5" w:rsidRDefault="00110302">
      <w:pPr>
        <w:rPr>
          <w:sz w:val="16"/>
          <w:szCs w:val="16"/>
        </w:rPr>
      </w:pPr>
    </w:p>
    <w:p w14:paraId="0924B731" w14:textId="77777777" w:rsidR="00110302" w:rsidRDefault="0081674D">
      <w:r>
        <w:t xml:space="preserve">Por efecto de las moratorias, la cobertura subió del 65% al 93% en 2022. Pero también </w:t>
      </w:r>
      <w:r>
        <w:t>crecieron los costos: el gasto en jubilaciones pasó del 4,3% al 7,6% del PBI. Esto generó un fuerte impacto fiscal y un dilema de equidad entre quienes cumplieron con todos los aportes y quienes no.</w:t>
      </w:r>
    </w:p>
    <w:p w14:paraId="60948E11" w14:textId="77777777" w:rsidR="00110302" w:rsidRPr="005657F5" w:rsidRDefault="00110302">
      <w:pPr>
        <w:rPr>
          <w:sz w:val="16"/>
          <w:szCs w:val="16"/>
        </w:rPr>
      </w:pPr>
    </w:p>
    <w:p w14:paraId="3E1B1604" w14:textId="77777777" w:rsidR="00110302" w:rsidRDefault="0081674D">
      <w:pPr>
        <w:rPr>
          <w:b/>
          <w:sz w:val="24"/>
          <w:szCs w:val="24"/>
        </w:rPr>
      </w:pPr>
      <w:r>
        <w:rPr>
          <w:b/>
          <w:sz w:val="24"/>
          <w:szCs w:val="24"/>
        </w:rPr>
        <w:t>Qué alternativas quedan en Argentina</w:t>
      </w:r>
    </w:p>
    <w:p w14:paraId="30286A40" w14:textId="77777777" w:rsidR="00110302" w:rsidRPr="005657F5" w:rsidRDefault="00110302">
      <w:pPr>
        <w:rPr>
          <w:sz w:val="16"/>
          <w:szCs w:val="16"/>
        </w:rPr>
      </w:pPr>
    </w:p>
    <w:p w14:paraId="1980E814" w14:textId="77777777" w:rsidR="00110302" w:rsidRDefault="0081674D" w:rsidP="008E331C">
      <w:pPr>
        <w:spacing w:after="120"/>
      </w:pPr>
      <w:r>
        <w:t>Hoy en Argentina e</w:t>
      </w:r>
      <w:r>
        <w:t xml:space="preserve">xisten cinco mecanismos que permiten acceder a una cobertura previsional en la vejez </w:t>
      </w:r>
      <w:r w:rsidR="003A2F81">
        <w:t>a</w:t>
      </w:r>
      <w:r>
        <w:t xml:space="preserve"> personas sin aportes completos:</w:t>
      </w:r>
    </w:p>
    <w:p w14:paraId="0153FE0B" w14:textId="77777777" w:rsidR="00110302" w:rsidRDefault="0081674D">
      <w:pPr>
        <w:numPr>
          <w:ilvl w:val="0"/>
          <w:numId w:val="1"/>
        </w:numPr>
        <w:pBdr>
          <w:top w:val="nil"/>
          <w:left w:val="nil"/>
          <w:bottom w:val="nil"/>
          <w:right w:val="nil"/>
          <w:between w:val="nil"/>
        </w:pBdr>
        <w:spacing w:line="259" w:lineRule="auto"/>
        <w:rPr>
          <w:color w:val="000000"/>
        </w:rPr>
      </w:pPr>
      <w:sdt>
        <w:sdtPr>
          <w:tag w:val="goog_rdk_0"/>
          <w:id w:val="-67578704"/>
        </w:sdtPr>
        <w:sdtEndPr/>
        <w:sdtContent/>
      </w:sdt>
      <w:r>
        <w:rPr>
          <w:b/>
          <w:color w:val="000000"/>
        </w:rPr>
        <w:t>Prestación Universal para el Adulto Mayor (PUAM):</w:t>
      </w:r>
      <w:r>
        <w:rPr>
          <w:color w:val="000000"/>
        </w:rPr>
        <w:t xml:space="preserve"> Para personas de 65 años o más sin ninguna otra cobertura previsional. Requiere evaluación socioeconómica. Equivale al 80% de una jubilación mínima, y se ajusta por Ley de Movilidad. Incluye cobertura de PAMI y acceso a asignaciones familiares. No genera </w:t>
      </w:r>
      <w:r>
        <w:rPr>
          <w:color w:val="000000"/>
        </w:rPr>
        <w:t>pensión por fallecimiento</w:t>
      </w:r>
      <w:r w:rsidR="00D2414E">
        <w:rPr>
          <w:color w:val="000000"/>
        </w:rPr>
        <w:t xml:space="preserve"> y es incompatible con un trabajo formal.</w:t>
      </w:r>
    </w:p>
    <w:p w14:paraId="0E459702" w14:textId="77777777" w:rsidR="00110302" w:rsidRDefault="0081674D">
      <w:pPr>
        <w:numPr>
          <w:ilvl w:val="0"/>
          <w:numId w:val="1"/>
        </w:numPr>
        <w:pBdr>
          <w:top w:val="nil"/>
          <w:left w:val="nil"/>
          <w:bottom w:val="nil"/>
          <w:right w:val="nil"/>
          <w:between w:val="nil"/>
        </w:pBdr>
        <w:spacing w:line="259" w:lineRule="auto"/>
        <w:rPr>
          <w:color w:val="000000"/>
        </w:rPr>
      </w:pPr>
      <w:r>
        <w:rPr>
          <w:b/>
          <w:color w:val="000000"/>
        </w:rPr>
        <w:t>Pensión No Contributiva por Vejez:</w:t>
      </w:r>
      <w:r>
        <w:rPr>
          <w:color w:val="000000"/>
        </w:rPr>
        <w:t xml:space="preserve"> Para personas desde los 70 años sin ninguna jubilación o pensión, propia o del cónyuge. También requiere evaluación socioeconómica. Equivale al 70% de una</w:t>
      </w:r>
      <w:r>
        <w:rPr>
          <w:color w:val="000000"/>
        </w:rPr>
        <w:t xml:space="preserve"> jubilación mínima. No tiene cobertura de PAMI (sino del Plan Incluir Salud) ni acceso a asignaciones sociales. </w:t>
      </w:r>
      <w:r>
        <w:t>G</w:t>
      </w:r>
      <w:r>
        <w:rPr>
          <w:color w:val="000000"/>
        </w:rPr>
        <w:t>enera pensión por fallecimiento</w:t>
      </w:r>
      <w:r>
        <w:t xml:space="preserve"> y es</w:t>
      </w:r>
      <w:r>
        <w:rPr>
          <w:color w:val="000000"/>
        </w:rPr>
        <w:t xml:space="preserve"> incompatible con la PUAM.</w:t>
      </w:r>
    </w:p>
    <w:p w14:paraId="1EBEE53F" w14:textId="77777777" w:rsidR="00110302" w:rsidRDefault="0081674D">
      <w:pPr>
        <w:numPr>
          <w:ilvl w:val="0"/>
          <w:numId w:val="1"/>
        </w:numPr>
        <w:pBdr>
          <w:top w:val="nil"/>
          <w:left w:val="nil"/>
          <w:bottom w:val="nil"/>
          <w:right w:val="nil"/>
          <w:between w:val="nil"/>
        </w:pBdr>
        <w:spacing w:line="259" w:lineRule="auto"/>
        <w:rPr>
          <w:b/>
          <w:color w:val="000000"/>
        </w:rPr>
      </w:pPr>
      <w:r>
        <w:rPr>
          <w:b/>
          <w:color w:val="000000"/>
        </w:rPr>
        <w:t>Moratorias:</w:t>
      </w:r>
    </w:p>
    <w:p w14:paraId="1C6D65BD" w14:textId="77777777" w:rsidR="00110302" w:rsidRDefault="0081674D">
      <w:pPr>
        <w:numPr>
          <w:ilvl w:val="1"/>
          <w:numId w:val="1"/>
        </w:numPr>
        <w:pBdr>
          <w:top w:val="nil"/>
          <w:left w:val="nil"/>
          <w:bottom w:val="nil"/>
          <w:right w:val="nil"/>
          <w:between w:val="nil"/>
        </w:pBdr>
        <w:spacing w:line="259" w:lineRule="auto"/>
        <w:rPr>
          <w:color w:val="000000"/>
        </w:rPr>
      </w:pPr>
      <w:r>
        <w:rPr>
          <w:i/>
          <w:color w:val="000000"/>
        </w:rPr>
        <w:t>Ley 24.476 (2005):</w:t>
      </w:r>
      <w:r>
        <w:rPr>
          <w:color w:val="000000"/>
        </w:rPr>
        <w:t xml:space="preserve"> Permite acceder a una jubilación mínima contribut</w:t>
      </w:r>
      <w:r>
        <w:rPr>
          <w:color w:val="000000"/>
        </w:rPr>
        <w:t>iva, con evaluación socioeconómica. La deuda se descuenta de la misma jubilación.</w:t>
      </w:r>
    </w:p>
    <w:p w14:paraId="2BE4B633" w14:textId="77777777" w:rsidR="00110302" w:rsidRDefault="0081674D">
      <w:pPr>
        <w:numPr>
          <w:ilvl w:val="1"/>
          <w:numId w:val="1"/>
        </w:numPr>
        <w:pBdr>
          <w:top w:val="nil"/>
          <w:left w:val="nil"/>
          <w:bottom w:val="nil"/>
          <w:right w:val="nil"/>
          <w:between w:val="nil"/>
        </w:pBdr>
        <w:spacing w:line="259" w:lineRule="auto"/>
        <w:rPr>
          <w:color w:val="000000"/>
        </w:rPr>
      </w:pPr>
      <w:r>
        <w:rPr>
          <w:i/>
          <w:color w:val="000000"/>
        </w:rPr>
        <w:t>Ley 27.705 (2023):</w:t>
      </w:r>
      <w:r>
        <w:rPr>
          <w:color w:val="000000"/>
        </w:rPr>
        <w:t xml:space="preserve"> Dirigida a personas en edad activa que no llegarán a los 30 años de aportes. También permite acceder a una jubilación mínima e implica una deuda a pagar mi</w:t>
      </w:r>
      <w:r>
        <w:rPr>
          <w:color w:val="000000"/>
        </w:rPr>
        <w:t>entras se está en actividad.</w:t>
      </w:r>
      <w:r w:rsidR="008E331C">
        <w:rPr>
          <w:rStyle w:val="Refdenotaalpie"/>
          <w:color w:val="000000"/>
        </w:rPr>
        <w:footnoteReference w:id="2"/>
      </w:r>
    </w:p>
    <w:p w14:paraId="002E9D02" w14:textId="77777777" w:rsidR="00110302" w:rsidRDefault="0081674D">
      <w:pPr>
        <w:numPr>
          <w:ilvl w:val="0"/>
          <w:numId w:val="1"/>
        </w:numPr>
        <w:pBdr>
          <w:top w:val="nil"/>
          <w:left w:val="nil"/>
          <w:bottom w:val="nil"/>
          <w:right w:val="nil"/>
          <w:between w:val="nil"/>
        </w:pBdr>
        <w:spacing w:after="160" w:line="259" w:lineRule="auto"/>
        <w:rPr>
          <w:color w:val="000000"/>
        </w:rPr>
      </w:pPr>
      <w:r>
        <w:rPr>
          <w:b/>
          <w:color w:val="000000"/>
        </w:rPr>
        <w:t>Pensión por fallecimiento:</w:t>
      </w:r>
      <w:r>
        <w:rPr>
          <w:color w:val="000000"/>
        </w:rPr>
        <w:t xml:space="preserve"> Para cónyuges</w:t>
      </w:r>
      <w:r w:rsidR="003A2F81">
        <w:rPr>
          <w:color w:val="000000"/>
        </w:rPr>
        <w:t xml:space="preserve"> o</w:t>
      </w:r>
      <w:r>
        <w:rPr>
          <w:color w:val="000000"/>
        </w:rPr>
        <w:t xml:space="preserve"> convivientes o hijos menores/discapacitados de personas fallecidas que estaban jubiladas o habían hecho aportes al sistema. El monto es del 70% del haber que cobraba el fallecido (si ya era jubilado) o que le hubiera correspondido (si estaba en actividad)</w:t>
      </w:r>
      <w:r>
        <w:rPr>
          <w:color w:val="000000"/>
        </w:rPr>
        <w:t>, y no puede ser inferior a una jubilación mínima. Es compatible con jubilaciones o pensiones, salvo con otra pensión por fallecimiento.</w:t>
      </w:r>
    </w:p>
    <w:p w14:paraId="174A02B9" w14:textId="77777777" w:rsidR="00110302" w:rsidRDefault="0081674D">
      <w:pPr>
        <w:jc w:val="center"/>
        <w:rPr>
          <w:b/>
        </w:rPr>
      </w:pPr>
      <w:r>
        <w:rPr>
          <w:b/>
        </w:rPr>
        <w:lastRenderedPageBreak/>
        <w:t>Tabla 1. Prestaciones que permiten acceder a cobertura en la vejez en Argentina</w:t>
      </w:r>
    </w:p>
    <w:tbl>
      <w:tblPr>
        <w:tblStyle w:val="a"/>
        <w:tblW w:w="11493" w:type="dxa"/>
        <w:tblInd w:w="-1281" w:type="dxa"/>
        <w:tblBorders>
          <w:insideH w:val="single" w:sz="4" w:space="0" w:color="auto"/>
        </w:tblBorders>
        <w:tblLayout w:type="fixed"/>
        <w:tblLook w:val="0400" w:firstRow="0" w:lastRow="0" w:firstColumn="0" w:lastColumn="0" w:noHBand="0" w:noVBand="1"/>
      </w:tblPr>
      <w:tblGrid>
        <w:gridCol w:w="1418"/>
        <w:gridCol w:w="1159"/>
        <w:gridCol w:w="1393"/>
        <w:gridCol w:w="992"/>
        <w:gridCol w:w="1187"/>
        <w:gridCol w:w="1266"/>
        <w:gridCol w:w="986"/>
        <w:gridCol w:w="1587"/>
        <w:gridCol w:w="1505"/>
      </w:tblGrid>
      <w:tr w:rsidR="00110302" w14:paraId="7593C9D3" w14:textId="77777777" w:rsidTr="000E1639">
        <w:trPr>
          <w:trHeight w:val="300"/>
        </w:trPr>
        <w:tc>
          <w:tcPr>
            <w:tcW w:w="1418" w:type="dxa"/>
            <w:tcBorders>
              <w:top w:val="single" w:sz="12" w:space="0" w:color="auto"/>
              <w:bottom w:val="single" w:sz="12" w:space="0" w:color="auto"/>
            </w:tcBorders>
            <w:shd w:val="clear" w:color="auto" w:fill="auto"/>
            <w:vAlign w:val="center"/>
          </w:tcPr>
          <w:p w14:paraId="0D573CC1" w14:textId="77777777" w:rsidR="00110302" w:rsidRDefault="0081674D">
            <w:pPr>
              <w:spacing w:line="240" w:lineRule="auto"/>
              <w:rPr>
                <w:b/>
                <w:color w:val="000000"/>
                <w:sz w:val="18"/>
                <w:szCs w:val="18"/>
              </w:rPr>
            </w:pPr>
            <w:r>
              <w:rPr>
                <w:b/>
                <w:color w:val="000000"/>
                <w:sz w:val="18"/>
                <w:szCs w:val="18"/>
              </w:rPr>
              <w:t>Prestación</w:t>
            </w:r>
          </w:p>
        </w:tc>
        <w:tc>
          <w:tcPr>
            <w:tcW w:w="1159" w:type="dxa"/>
            <w:tcBorders>
              <w:top w:val="single" w:sz="12" w:space="0" w:color="auto"/>
              <w:bottom w:val="single" w:sz="12" w:space="0" w:color="auto"/>
            </w:tcBorders>
            <w:shd w:val="clear" w:color="auto" w:fill="auto"/>
            <w:vAlign w:val="center"/>
          </w:tcPr>
          <w:p w14:paraId="66C27186" w14:textId="77777777" w:rsidR="00110302" w:rsidRDefault="0081674D">
            <w:pPr>
              <w:spacing w:line="240" w:lineRule="auto"/>
              <w:jc w:val="center"/>
              <w:rPr>
                <w:b/>
                <w:color w:val="000000"/>
                <w:sz w:val="18"/>
                <w:szCs w:val="18"/>
              </w:rPr>
            </w:pPr>
            <w:r>
              <w:rPr>
                <w:b/>
                <w:color w:val="000000"/>
                <w:sz w:val="18"/>
                <w:szCs w:val="18"/>
              </w:rPr>
              <w:t>Tipo de beneficio</w:t>
            </w:r>
          </w:p>
        </w:tc>
        <w:tc>
          <w:tcPr>
            <w:tcW w:w="1393" w:type="dxa"/>
            <w:tcBorders>
              <w:top w:val="single" w:sz="12" w:space="0" w:color="auto"/>
              <w:bottom w:val="single" w:sz="12" w:space="0" w:color="auto"/>
            </w:tcBorders>
            <w:shd w:val="clear" w:color="auto" w:fill="auto"/>
            <w:vAlign w:val="center"/>
          </w:tcPr>
          <w:p w14:paraId="4C8A1F47" w14:textId="77777777" w:rsidR="00110302" w:rsidRDefault="0081674D">
            <w:pPr>
              <w:spacing w:line="240" w:lineRule="auto"/>
              <w:jc w:val="center"/>
              <w:rPr>
                <w:b/>
                <w:color w:val="000000"/>
                <w:sz w:val="18"/>
                <w:szCs w:val="18"/>
              </w:rPr>
            </w:pPr>
            <w:r>
              <w:rPr>
                <w:b/>
                <w:color w:val="000000"/>
                <w:sz w:val="18"/>
                <w:szCs w:val="18"/>
              </w:rPr>
              <w:t>Edad</w:t>
            </w:r>
          </w:p>
        </w:tc>
        <w:tc>
          <w:tcPr>
            <w:tcW w:w="992" w:type="dxa"/>
            <w:tcBorders>
              <w:top w:val="single" w:sz="12" w:space="0" w:color="auto"/>
              <w:bottom w:val="single" w:sz="12" w:space="0" w:color="auto"/>
            </w:tcBorders>
            <w:shd w:val="clear" w:color="auto" w:fill="auto"/>
            <w:vAlign w:val="center"/>
          </w:tcPr>
          <w:p w14:paraId="69DEC93F" w14:textId="77777777" w:rsidR="00110302" w:rsidRDefault="0081674D">
            <w:pPr>
              <w:spacing w:line="240" w:lineRule="auto"/>
              <w:jc w:val="center"/>
              <w:rPr>
                <w:b/>
                <w:color w:val="000000"/>
                <w:sz w:val="18"/>
                <w:szCs w:val="18"/>
              </w:rPr>
            </w:pPr>
            <w:r>
              <w:rPr>
                <w:b/>
                <w:color w:val="000000"/>
                <w:sz w:val="18"/>
                <w:szCs w:val="18"/>
              </w:rPr>
              <w:t>Monto</w:t>
            </w:r>
          </w:p>
        </w:tc>
        <w:tc>
          <w:tcPr>
            <w:tcW w:w="1187" w:type="dxa"/>
            <w:tcBorders>
              <w:top w:val="single" w:sz="12" w:space="0" w:color="auto"/>
              <w:bottom w:val="single" w:sz="12" w:space="0" w:color="auto"/>
            </w:tcBorders>
            <w:shd w:val="clear" w:color="auto" w:fill="auto"/>
            <w:vAlign w:val="center"/>
          </w:tcPr>
          <w:p w14:paraId="22DB69A7" w14:textId="77777777" w:rsidR="00110302" w:rsidRDefault="0081674D">
            <w:pPr>
              <w:spacing w:line="240" w:lineRule="auto"/>
              <w:jc w:val="center"/>
              <w:rPr>
                <w:b/>
                <w:color w:val="000000"/>
                <w:sz w:val="18"/>
                <w:szCs w:val="18"/>
              </w:rPr>
            </w:pPr>
            <w:r>
              <w:rPr>
                <w:b/>
                <w:color w:val="000000"/>
                <w:sz w:val="18"/>
                <w:szCs w:val="18"/>
              </w:rPr>
              <w:t>Beneficios</w:t>
            </w:r>
          </w:p>
        </w:tc>
        <w:tc>
          <w:tcPr>
            <w:tcW w:w="1266" w:type="dxa"/>
            <w:tcBorders>
              <w:top w:val="single" w:sz="12" w:space="0" w:color="auto"/>
              <w:bottom w:val="single" w:sz="12" w:space="0" w:color="auto"/>
            </w:tcBorders>
            <w:shd w:val="clear" w:color="auto" w:fill="auto"/>
            <w:vAlign w:val="center"/>
          </w:tcPr>
          <w:p w14:paraId="5670F77F" w14:textId="77777777" w:rsidR="00110302" w:rsidRDefault="0081674D">
            <w:pPr>
              <w:spacing w:line="240" w:lineRule="auto"/>
              <w:jc w:val="center"/>
              <w:rPr>
                <w:b/>
                <w:color w:val="000000"/>
                <w:sz w:val="18"/>
                <w:szCs w:val="18"/>
              </w:rPr>
            </w:pPr>
            <w:sdt>
              <w:sdtPr>
                <w:tag w:val="goog_rdk_1"/>
                <w:id w:val="-1984997650"/>
              </w:sdtPr>
              <w:sdtEndPr/>
              <w:sdtContent/>
            </w:sdt>
            <w:r>
              <w:rPr>
                <w:b/>
                <w:color w:val="000000"/>
                <w:sz w:val="18"/>
                <w:szCs w:val="18"/>
              </w:rPr>
              <w:t>Pensión por fallecimiento</w:t>
            </w:r>
          </w:p>
        </w:tc>
        <w:tc>
          <w:tcPr>
            <w:tcW w:w="986" w:type="dxa"/>
            <w:tcBorders>
              <w:top w:val="single" w:sz="12" w:space="0" w:color="auto"/>
              <w:bottom w:val="single" w:sz="12" w:space="0" w:color="auto"/>
            </w:tcBorders>
            <w:shd w:val="clear" w:color="auto" w:fill="auto"/>
            <w:vAlign w:val="center"/>
          </w:tcPr>
          <w:p w14:paraId="46D39615" w14:textId="77777777" w:rsidR="00110302" w:rsidRDefault="0081674D">
            <w:pPr>
              <w:spacing w:line="240" w:lineRule="auto"/>
              <w:jc w:val="center"/>
              <w:rPr>
                <w:b/>
                <w:color w:val="000000"/>
                <w:sz w:val="18"/>
                <w:szCs w:val="18"/>
              </w:rPr>
            </w:pPr>
            <w:r>
              <w:rPr>
                <w:b/>
                <w:color w:val="000000"/>
                <w:sz w:val="18"/>
                <w:szCs w:val="18"/>
              </w:rPr>
              <w:t>Movilidad</w:t>
            </w:r>
          </w:p>
        </w:tc>
        <w:tc>
          <w:tcPr>
            <w:tcW w:w="1587" w:type="dxa"/>
            <w:tcBorders>
              <w:top w:val="single" w:sz="12" w:space="0" w:color="auto"/>
              <w:bottom w:val="single" w:sz="12" w:space="0" w:color="auto"/>
            </w:tcBorders>
            <w:shd w:val="clear" w:color="auto" w:fill="auto"/>
            <w:vAlign w:val="center"/>
          </w:tcPr>
          <w:p w14:paraId="3E318064" w14:textId="77777777" w:rsidR="00110302" w:rsidRDefault="0081674D">
            <w:pPr>
              <w:spacing w:line="240" w:lineRule="auto"/>
              <w:jc w:val="center"/>
              <w:rPr>
                <w:b/>
                <w:color w:val="000000"/>
                <w:sz w:val="18"/>
                <w:szCs w:val="18"/>
              </w:rPr>
            </w:pPr>
            <w:r>
              <w:rPr>
                <w:b/>
                <w:color w:val="000000"/>
                <w:sz w:val="18"/>
                <w:szCs w:val="18"/>
              </w:rPr>
              <w:t>Incompatibilidad</w:t>
            </w:r>
          </w:p>
        </w:tc>
        <w:tc>
          <w:tcPr>
            <w:tcW w:w="1505" w:type="dxa"/>
            <w:tcBorders>
              <w:top w:val="single" w:sz="12" w:space="0" w:color="auto"/>
              <w:bottom w:val="single" w:sz="12" w:space="0" w:color="auto"/>
            </w:tcBorders>
            <w:shd w:val="clear" w:color="auto" w:fill="auto"/>
            <w:vAlign w:val="center"/>
          </w:tcPr>
          <w:p w14:paraId="0C17513A" w14:textId="77777777" w:rsidR="00110302" w:rsidRDefault="0081674D">
            <w:pPr>
              <w:spacing w:line="240" w:lineRule="auto"/>
              <w:jc w:val="center"/>
              <w:rPr>
                <w:b/>
                <w:color w:val="000000"/>
                <w:sz w:val="18"/>
                <w:szCs w:val="18"/>
              </w:rPr>
            </w:pPr>
            <w:r>
              <w:rPr>
                <w:b/>
                <w:color w:val="000000"/>
                <w:sz w:val="18"/>
                <w:szCs w:val="18"/>
              </w:rPr>
              <w:t>Evaluación socioeconómica</w:t>
            </w:r>
          </w:p>
        </w:tc>
      </w:tr>
      <w:tr w:rsidR="00110302" w14:paraId="3B6B6679" w14:textId="77777777" w:rsidTr="000E1639">
        <w:trPr>
          <w:trHeight w:val="300"/>
        </w:trPr>
        <w:tc>
          <w:tcPr>
            <w:tcW w:w="1418" w:type="dxa"/>
            <w:tcBorders>
              <w:top w:val="single" w:sz="12" w:space="0" w:color="auto"/>
            </w:tcBorders>
            <w:shd w:val="clear" w:color="auto" w:fill="auto"/>
            <w:vAlign w:val="center"/>
          </w:tcPr>
          <w:p w14:paraId="41B2A6DA" w14:textId="77777777" w:rsidR="00110302" w:rsidRDefault="0081674D">
            <w:pPr>
              <w:spacing w:line="240" w:lineRule="auto"/>
              <w:jc w:val="left"/>
              <w:rPr>
                <w:b/>
                <w:color w:val="000000"/>
                <w:sz w:val="18"/>
                <w:szCs w:val="18"/>
              </w:rPr>
            </w:pPr>
            <w:r>
              <w:rPr>
                <w:b/>
                <w:color w:val="000000"/>
                <w:sz w:val="18"/>
                <w:szCs w:val="18"/>
              </w:rPr>
              <w:t>Prestación Universal para el Adulto Mayor (PUAM)</w:t>
            </w:r>
          </w:p>
        </w:tc>
        <w:tc>
          <w:tcPr>
            <w:tcW w:w="1159" w:type="dxa"/>
            <w:tcBorders>
              <w:top w:val="single" w:sz="12" w:space="0" w:color="auto"/>
            </w:tcBorders>
            <w:shd w:val="clear" w:color="auto" w:fill="auto"/>
            <w:vAlign w:val="center"/>
          </w:tcPr>
          <w:p w14:paraId="7DB7D521" w14:textId="77777777" w:rsidR="00110302" w:rsidRDefault="0081674D">
            <w:pPr>
              <w:spacing w:line="240" w:lineRule="auto"/>
              <w:jc w:val="center"/>
              <w:rPr>
                <w:color w:val="000000"/>
                <w:sz w:val="18"/>
                <w:szCs w:val="18"/>
              </w:rPr>
            </w:pPr>
            <w:r>
              <w:rPr>
                <w:color w:val="000000"/>
                <w:sz w:val="18"/>
                <w:szCs w:val="18"/>
              </w:rPr>
              <w:t>No contributivo</w:t>
            </w:r>
          </w:p>
        </w:tc>
        <w:tc>
          <w:tcPr>
            <w:tcW w:w="1393" w:type="dxa"/>
            <w:tcBorders>
              <w:top w:val="single" w:sz="12" w:space="0" w:color="auto"/>
            </w:tcBorders>
            <w:shd w:val="clear" w:color="auto" w:fill="auto"/>
            <w:vAlign w:val="center"/>
          </w:tcPr>
          <w:p w14:paraId="10784E53" w14:textId="77777777" w:rsidR="00110302" w:rsidRDefault="0081674D">
            <w:pPr>
              <w:spacing w:line="240" w:lineRule="auto"/>
              <w:jc w:val="center"/>
              <w:rPr>
                <w:color w:val="000000"/>
                <w:sz w:val="18"/>
                <w:szCs w:val="18"/>
              </w:rPr>
            </w:pPr>
            <w:r>
              <w:rPr>
                <w:color w:val="000000"/>
                <w:sz w:val="18"/>
                <w:szCs w:val="18"/>
              </w:rPr>
              <w:t>65</w:t>
            </w:r>
          </w:p>
        </w:tc>
        <w:tc>
          <w:tcPr>
            <w:tcW w:w="992" w:type="dxa"/>
            <w:tcBorders>
              <w:top w:val="single" w:sz="12" w:space="0" w:color="auto"/>
            </w:tcBorders>
            <w:shd w:val="clear" w:color="auto" w:fill="auto"/>
            <w:vAlign w:val="center"/>
          </w:tcPr>
          <w:p w14:paraId="72617907" w14:textId="77777777" w:rsidR="00110302" w:rsidRDefault="0081674D">
            <w:pPr>
              <w:spacing w:line="240" w:lineRule="auto"/>
              <w:jc w:val="center"/>
              <w:rPr>
                <w:color w:val="000000"/>
                <w:sz w:val="18"/>
                <w:szCs w:val="18"/>
              </w:rPr>
            </w:pPr>
            <w:r>
              <w:rPr>
                <w:color w:val="000000"/>
                <w:sz w:val="18"/>
                <w:szCs w:val="18"/>
              </w:rPr>
              <w:t>80% de una jubilación mínima</w:t>
            </w:r>
          </w:p>
        </w:tc>
        <w:tc>
          <w:tcPr>
            <w:tcW w:w="1187" w:type="dxa"/>
            <w:tcBorders>
              <w:top w:val="single" w:sz="12" w:space="0" w:color="auto"/>
            </w:tcBorders>
            <w:shd w:val="clear" w:color="auto" w:fill="auto"/>
            <w:vAlign w:val="center"/>
          </w:tcPr>
          <w:p w14:paraId="206CE832" w14:textId="77777777" w:rsidR="00110302" w:rsidRDefault="0081674D">
            <w:pPr>
              <w:spacing w:line="240" w:lineRule="auto"/>
              <w:jc w:val="center"/>
              <w:rPr>
                <w:color w:val="000000"/>
                <w:sz w:val="18"/>
                <w:szCs w:val="18"/>
              </w:rPr>
            </w:pPr>
            <w:r>
              <w:rPr>
                <w:color w:val="000000"/>
                <w:sz w:val="18"/>
                <w:szCs w:val="18"/>
              </w:rPr>
              <w:t>PAMI y asignaciones familiares</w:t>
            </w:r>
          </w:p>
        </w:tc>
        <w:tc>
          <w:tcPr>
            <w:tcW w:w="1266" w:type="dxa"/>
            <w:tcBorders>
              <w:top w:val="single" w:sz="12" w:space="0" w:color="auto"/>
            </w:tcBorders>
            <w:shd w:val="clear" w:color="auto" w:fill="auto"/>
            <w:vAlign w:val="center"/>
          </w:tcPr>
          <w:p w14:paraId="0D149A50" w14:textId="77777777" w:rsidR="00110302" w:rsidRDefault="0081674D">
            <w:pPr>
              <w:spacing w:line="240" w:lineRule="auto"/>
              <w:jc w:val="center"/>
              <w:rPr>
                <w:color w:val="000000"/>
                <w:sz w:val="18"/>
                <w:szCs w:val="18"/>
              </w:rPr>
            </w:pPr>
            <w:r>
              <w:rPr>
                <w:color w:val="000000"/>
                <w:sz w:val="18"/>
                <w:szCs w:val="18"/>
              </w:rPr>
              <w:t>No</w:t>
            </w:r>
          </w:p>
        </w:tc>
        <w:tc>
          <w:tcPr>
            <w:tcW w:w="986" w:type="dxa"/>
            <w:tcBorders>
              <w:top w:val="single" w:sz="12" w:space="0" w:color="auto"/>
            </w:tcBorders>
            <w:shd w:val="clear" w:color="auto" w:fill="auto"/>
            <w:vAlign w:val="center"/>
          </w:tcPr>
          <w:p w14:paraId="6A70A1DD" w14:textId="77777777" w:rsidR="00110302" w:rsidRDefault="0081674D">
            <w:pPr>
              <w:spacing w:line="240" w:lineRule="auto"/>
              <w:jc w:val="center"/>
              <w:rPr>
                <w:color w:val="000000"/>
                <w:sz w:val="18"/>
                <w:szCs w:val="18"/>
              </w:rPr>
            </w:pPr>
            <w:r>
              <w:rPr>
                <w:color w:val="000000"/>
                <w:sz w:val="18"/>
                <w:szCs w:val="18"/>
              </w:rPr>
              <w:t>Sí</w:t>
            </w:r>
          </w:p>
        </w:tc>
        <w:tc>
          <w:tcPr>
            <w:tcW w:w="1587" w:type="dxa"/>
            <w:tcBorders>
              <w:top w:val="single" w:sz="12" w:space="0" w:color="auto"/>
            </w:tcBorders>
            <w:shd w:val="clear" w:color="auto" w:fill="auto"/>
            <w:vAlign w:val="center"/>
          </w:tcPr>
          <w:p w14:paraId="7DFE7AF7" w14:textId="77777777" w:rsidR="00110302" w:rsidRDefault="0081674D">
            <w:pPr>
              <w:spacing w:line="240" w:lineRule="auto"/>
              <w:jc w:val="center"/>
              <w:rPr>
                <w:color w:val="000000"/>
                <w:sz w:val="18"/>
                <w:szCs w:val="18"/>
              </w:rPr>
            </w:pPr>
            <w:r>
              <w:rPr>
                <w:color w:val="000000"/>
                <w:sz w:val="18"/>
                <w:szCs w:val="18"/>
              </w:rPr>
              <w:t xml:space="preserve">Trabajo formal, otra </w:t>
            </w:r>
            <w:r>
              <w:rPr>
                <w:color w:val="000000"/>
                <w:sz w:val="18"/>
                <w:szCs w:val="18"/>
              </w:rPr>
              <w:t>cobertura previsional</w:t>
            </w:r>
          </w:p>
        </w:tc>
        <w:tc>
          <w:tcPr>
            <w:tcW w:w="1505" w:type="dxa"/>
            <w:tcBorders>
              <w:top w:val="single" w:sz="12" w:space="0" w:color="auto"/>
            </w:tcBorders>
            <w:shd w:val="clear" w:color="auto" w:fill="auto"/>
            <w:vAlign w:val="center"/>
          </w:tcPr>
          <w:p w14:paraId="26C05436" w14:textId="77777777" w:rsidR="00110302" w:rsidRDefault="0081674D">
            <w:pPr>
              <w:spacing w:line="240" w:lineRule="auto"/>
              <w:jc w:val="center"/>
              <w:rPr>
                <w:color w:val="000000"/>
                <w:sz w:val="18"/>
                <w:szCs w:val="18"/>
              </w:rPr>
            </w:pPr>
            <w:r>
              <w:rPr>
                <w:color w:val="000000"/>
                <w:sz w:val="18"/>
                <w:szCs w:val="18"/>
              </w:rPr>
              <w:t>Sí</w:t>
            </w:r>
          </w:p>
        </w:tc>
      </w:tr>
      <w:tr w:rsidR="00110302" w14:paraId="7C8EFDBE" w14:textId="77777777" w:rsidTr="000E1639">
        <w:trPr>
          <w:trHeight w:val="300"/>
        </w:trPr>
        <w:tc>
          <w:tcPr>
            <w:tcW w:w="1418" w:type="dxa"/>
            <w:shd w:val="clear" w:color="auto" w:fill="auto"/>
            <w:vAlign w:val="center"/>
          </w:tcPr>
          <w:p w14:paraId="2246F50B" w14:textId="77777777" w:rsidR="00110302" w:rsidRDefault="0081674D">
            <w:pPr>
              <w:spacing w:line="240" w:lineRule="auto"/>
              <w:jc w:val="left"/>
              <w:rPr>
                <w:b/>
                <w:color w:val="000000"/>
                <w:sz w:val="18"/>
                <w:szCs w:val="18"/>
              </w:rPr>
            </w:pPr>
            <w:r>
              <w:rPr>
                <w:b/>
                <w:color w:val="000000"/>
                <w:sz w:val="18"/>
                <w:szCs w:val="18"/>
              </w:rPr>
              <w:t>Prestación No Contributiva por Vejez</w:t>
            </w:r>
          </w:p>
        </w:tc>
        <w:tc>
          <w:tcPr>
            <w:tcW w:w="1159" w:type="dxa"/>
            <w:shd w:val="clear" w:color="auto" w:fill="auto"/>
            <w:vAlign w:val="center"/>
          </w:tcPr>
          <w:p w14:paraId="17336C9B" w14:textId="77777777" w:rsidR="00110302" w:rsidRDefault="0081674D">
            <w:pPr>
              <w:spacing w:line="240" w:lineRule="auto"/>
              <w:jc w:val="center"/>
              <w:rPr>
                <w:color w:val="000000"/>
                <w:sz w:val="18"/>
                <w:szCs w:val="18"/>
              </w:rPr>
            </w:pPr>
            <w:r>
              <w:rPr>
                <w:color w:val="000000"/>
                <w:sz w:val="18"/>
                <w:szCs w:val="18"/>
              </w:rPr>
              <w:t>No contributivo</w:t>
            </w:r>
          </w:p>
        </w:tc>
        <w:tc>
          <w:tcPr>
            <w:tcW w:w="1393" w:type="dxa"/>
            <w:shd w:val="clear" w:color="auto" w:fill="auto"/>
            <w:vAlign w:val="center"/>
          </w:tcPr>
          <w:p w14:paraId="2ADA4655" w14:textId="77777777" w:rsidR="00110302" w:rsidRDefault="0081674D">
            <w:pPr>
              <w:spacing w:line="240" w:lineRule="auto"/>
              <w:jc w:val="center"/>
              <w:rPr>
                <w:color w:val="000000"/>
                <w:sz w:val="18"/>
                <w:szCs w:val="18"/>
              </w:rPr>
            </w:pPr>
            <w:r>
              <w:rPr>
                <w:color w:val="000000"/>
                <w:sz w:val="18"/>
                <w:szCs w:val="18"/>
              </w:rPr>
              <w:t>70</w:t>
            </w:r>
          </w:p>
        </w:tc>
        <w:tc>
          <w:tcPr>
            <w:tcW w:w="992" w:type="dxa"/>
            <w:shd w:val="clear" w:color="auto" w:fill="auto"/>
            <w:vAlign w:val="center"/>
          </w:tcPr>
          <w:p w14:paraId="12C9046C" w14:textId="77777777" w:rsidR="00110302" w:rsidRDefault="0081674D">
            <w:pPr>
              <w:spacing w:line="240" w:lineRule="auto"/>
              <w:jc w:val="center"/>
              <w:rPr>
                <w:color w:val="000000"/>
                <w:sz w:val="18"/>
                <w:szCs w:val="18"/>
              </w:rPr>
            </w:pPr>
            <w:r>
              <w:rPr>
                <w:color w:val="000000"/>
                <w:sz w:val="18"/>
                <w:szCs w:val="18"/>
              </w:rPr>
              <w:t>70% de una jubilación mínima</w:t>
            </w:r>
          </w:p>
        </w:tc>
        <w:tc>
          <w:tcPr>
            <w:tcW w:w="1187" w:type="dxa"/>
            <w:shd w:val="clear" w:color="auto" w:fill="auto"/>
            <w:vAlign w:val="center"/>
          </w:tcPr>
          <w:p w14:paraId="44BB5908" w14:textId="77777777" w:rsidR="00110302" w:rsidRDefault="0081674D">
            <w:pPr>
              <w:spacing w:line="240" w:lineRule="auto"/>
              <w:jc w:val="center"/>
              <w:rPr>
                <w:color w:val="000000"/>
                <w:sz w:val="18"/>
                <w:szCs w:val="18"/>
              </w:rPr>
            </w:pPr>
            <w:r>
              <w:rPr>
                <w:color w:val="000000"/>
                <w:sz w:val="18"/>
                <w:szCs w:val="18"/>
              </w:rPr>
              <w:t>Plan Incluir Salud</w:t>
            </w:r>
          </w:p>
        </w:tc>
        <w:tc>
          <w:tcPr>
            <w:tcW w:w="1266" w:type="dxa"/>
            <w:shd w:val="clear" w:color="auto" w:fill="auto"/>
            <w:vAlign w:val="center"/>
          </w:tcPr>
          <w:p w14:paraId="625371C7" w14:textId="77777777" w:rsidR="00110302" w:rsidRDefault="0081674D">
            <w:pPr>
              <w:spacing w:line="240" w:lineRule="auto"/>
              <w:jc w:val="center"/>
              <w:rPr>
                <w:color w:val="000000"/>
                <w:sz w:val="18"/>
                <w:szCs w:val="18"/>
              </w:rPr>
            </w:pPr>
            <w:r>
              <w:rPr>
                <w:color w:val="000000"/>
                <w:sz w:val="18"/>
                <w:szCs w:val="18"/>
              </w:rPr>
              <w:t>Sí</w:t>
            </w:r>
          </w:p>
        </w:tc>
        <w:tc>
          <w:tcPr>
            <w:tcW w:w="986" w:type="dxa"/>
            <w:shd w:val="clear" w:color="auto" w:fill="auto"/>
            <w:vAlign w:val="center"/>
          </w:tcPr>
          <w:p w14:paraId="3640D262" w14:textId="77777777" w:rsidR="00110302" w:rsidRDefault="0081674D">
            <w:pPr>
              <w:spacing w:line="240" w:lineRule="auto"/>
              <w:jc w:val="center"/>
              <w:rPr>
                <w:color w:val="000000"/>
                <w:sz w:val="18"/>
                <w:szCs w:val="18"/>
              </w:rPr>
            </w:pPr>
            <w:r>
              <w:rPr>
                <w:color w:val="000000"/>
                <w:sz w:val="18"/>
                <w:szCs w:val="18"/>
              </w:rPr>
              <w:t>Sí</w:t>
            </w:r>
          </w:p>
        </w:tc>
        <w:tc>
          <w:tcPr>
            <w:tcW w:w="1587" w:type="dxa"/>
            <w:shd w:val="clear" w:color="auto" w:fill="auto"/>
            <w:vAlign w:val="center"/>
          </w:tcPr>
          <w:p w14:paraId="6FD3D370" w14:textId="77777777" w:rsidR="00110302" w:rsidRDefault="0081674D">
            <w:pPr>
              <w:spacing w:line="240" w:lineRule="auto"/>
              <w:jc w:val="center"/>
              <w:rPr>
                <w:color w:val="000000"/>
                <w:sz w:val="18"/>
                <w:szCs w:val="18"/>
              </w:rPr>
            </w:pPr>
            <w:r>
              <w:rPr>
                <w:color w:val="000000"/>
                <w:sz w:val="18"/>
                <w:szCs w:val="18"/>
              </w:rPr>
              <w:t>Otra cobertura previsional</w:t>
            </w:r>
            <w:r w:rsidR="003A2F81">
              <w:rPr>
                <w:rStyle w:val="Refdenotaalpie"/>
                <w:color w:val="000000"/>
                <w:sz w:val="18"/>
                <w:szCs w:val="18"/>
              </w:rPr>
              <w:footnoteReference w:id="3"/>
            </w:r>
            <w:r>
              <w:rPr>
                <w:color w:val="000000"/>
                <w:sz w:val="18"/>
                <w:szCs w:val="18"/>
              </w:rPr>
              <w:t>, asignaciones sociales</w:t>
            </w:r>
          </w:p>
        </w:tc>
        <w:tc>
          <w:tcPr>
            <w:tcW w:w="1505" w:type="dxa"/>
            <w:shd w:val="clear" w:color="auto" w:fill="auto"/>
            <w:vAlign w:val="center"/>
          </w:tcPr>
          <w:p w14:paraId="2C6367B9" w14:textId="77777777" w:rsidR="00110302" w:rsidRDefault="0081674D">
            <w:pPr>
              <w:spacing w:line="240" w:lineRule="auto"/>
              <w:jc w:val="center"/>
              <w:rPr>
                <w:color w:val="000000"/>
                <w:sz w:val="18"/>
                <w:szCs w:val="18"/>
              </w:rPr>
            </w:pPr>
            <w:r>
              <w:rPr>
                <w:color w:val="000000"/>
                <w:sz w:val="18"/>
                <w:szCs w:val="18"/>
              </w:rPr>
              <w:t>Sí</w:t>
            </w:r>
          </w:p>
        </w:tc>
      </w:tr>
      <w:tr w:rsidR="00110302" w14:paraId="609B490C" w14:textId="77777777" w:rsidTr="000E1639">
        <w:trPr>
          <w:trHeight w:val="1095"/>
        </w:trPr>
        <w:tc>
          <w:tcPr>
            <w:tcW w:w="1418" w:type="dxa"/>
            <w:shd w:val="clear" w:color="auto" w:fill="auto"/>
            <w:vAlign w:val="center"/>
          </w:tcPr>
          <w:p w14:paraId="14A9648D" w14:textId="77777777" w:rsidR="00110302" w:rsidRDefault="0081674D">
            <w:pPr>
              <w:spacing w:line="240" w:lineRule="auto"/>
              <w:jc w:val="left"/>
              <w:rPr>
                <w:b/>
                <w:color w:val="000000"/>
                <w:sz w:val="18"/>
                <w:szCs w:val="18"/>
              </w:rPr>
            </w:pPr>
            <w:r>
              <w:rPr>
                <w:b/>
                <w:color w:val="000000"/>
                <w:sz w:val="18"/>
                <w:szCs w:val="18"/>
              </w:rPr>
              <w:t xml:space="preserve">Moratoria de 2005 </w:t>
            </w:r>
          </w:p>
          <w:p w14:paraId="418338E2" w14:textId="77777777" w:rsidR="00110302" w:rsidRDefault="0081674D">
            <w:pPr>
              <w:spacing w:line="240" w:lineRule="auto"/>
              <w:jc w:val="left"/>
              <w:rPr>
                <w:b/>
                <w:color w:val="000000"/>
                <w:sz w:val="18"/>
                <w:szCs w:val="18"/>
              </w:rPr>
            </w:pPr>
            <w:r>
              <w:rPr>
                <w:b/>
                <w:color w:val="000000"/>
                <w:sz w:val="18"/>
                <w:szCs w:val="18"/>
              </w:rPr>
              <w:t xml:space="preserve">(Ley </w:t>
            </w:r>
            <w:proofErr w:type="spellStart"/>
            <w:r>
              <w:rPr>
                <w:b/>
                <w:color w:val="000000"/>
                <w:sz w:val="18"/>
                <w:szCs w:val="18"/>
              </w:rPr>
              <w:t>Nº</w:t>
            </w:r>
            <w:proofErr w:type="spellEnd"/>
            <w:r>
              <w:rPr>
                <w:b/>
                <w:color w:val="000000"/>
                <w:sz w:val="18"/>
                <w:szCs w:val="18"/>
              </w:rPr>
              <w:t xml:space="preserve"> 24.476)</w:t>
            </w:r>
          </w:p>
        </w:tc>
        <w:tc>
          <w:tcPr>
            <w:tcW w:w="1159" w:type="dxa"/>
            <w:shd w:val="clear" w:color="auto" w:fill="auto"/>
            <w:vAlign w:val="center"/>
          </w:tcPr>
          <w:p w14:paraId="622A10C3" w14:textId="77777777" w:rsidR="00110302" w:rsidRDefault="0081674D">
            <w:pPr>
              <w:spacing w:line="240" w:lineRule="auto"/>
              <w:jc w:val="center"/>
              <w:rPr>
                <w:color w:val="000000"/>
                <w:sz w:val="18"/>
                <w:szCs w:val="18"/>
              </w:rPr>
            </w:pPr>
            <w:r>
              <w:rPr>
                <w:color w:val="000000"/>
                <w:sz w:val="18"/>
                <w:szCs w:val="18"/>
              </w:rPr>
              <w:t>Contributivo</w:t>
            </w:r>
          </w:p>
        </w:tc>
        <w:tc>
          <w:tcPr>
            <w:tcW w:w="1393" w:type="dxa"/>
            <w:shd w:val="clear" w:color="auto" w:fill="auto"/>
            <w:vAlign w:val="center"/>
          </w:tcPr>
          <w:p w14:paraId="02D200CE" w14:textId="77777777" w:rsidR="00110302" w:rsidRDefault="0081674D">
            <w:pPr>
              <w:spacing w:line="240" w:lineRule="auto"/>
              <w:jc w:val="center"/>
              <w:rPr>
                <w:color w:val="000000"/>
                <w:sz w:val="18"/>
                <w:szCs w:val="18"/>
              </w:rPr>
            </w:pPr>
            <w:r>
              <w:rPr>
                <w:color w:val="000000"/>
                <w:sz w:val="18"/>
                <w:szCs w:val="18"/>
              </w:rPr>
              <w:t xml:space="preserve">60 </w:t>
            </w:r>
            <w:r>
              <w:rPr>
                <w:color w:val="000000"/>
                <w:sz w:val="18"/>
                <w:szCs w:val="18"/>
              </w:rPr>
              <w:t>mujeres y 65 hombres</w:t>
            </w:r>
          </w:p>
        </w:tc>
        <w:tc>
          <w:tcPr>
            <w:tcW w:w="992" w:type="dxa"/>
            <w:shd w:val="clear" w:color="auto" w:fill="auto"/>
            <w:vAlign w:val="center"/>
          </w:tcPr>
          <w:p w14:paraId="4D758AE5" w14:textId="77777777" w:rsidR="00110302" w:rsidRDefault="0081674D">
            <w:pPr>
              <w:spacing w:line="240" w:lineRule="auto"/>
              <w:jc w:val="center"/>
              <w:rPr>
                <w:color w:val="000000"/>
                <w:sz w:val="18"/>
                <w:szCs w:val="18"/>
              </w:rPr>
            </w:pPr>
            <w:r>
              <w:rPr>
                <w:color w:val="000000"/>
                <w:sz w:val="18"/>
                <w:szCs w:val="18"/>
              </w:rPr>
              <w:t>Jubilación mínima</w:t>
            </w:r>
          </w:p>
        </w:tc>
        <w:tc>
          <w:tcPr>
            <w:tcW w:w="1187" w:type="dxa"/>
            <w:shd w:val="clear" w:color="auto" w:fill="auto"/>
            <w:vAlign w:val="center"/>
          </w:tcPr>
          <w:p w14:paraId="315E458B" w14:textId="77777777" w:rsidR="00110302" w:rsidRDefault="0081674D">
            <w:pPr>
              <w:spacing w:line="240" w:lineRule="auto"/>
              <w:jc w:val="center"/>
              <w:rPr>
                <w:color w:val="000000"/>
                <w:sz w:val="18"/>
                <w:szCs w:val="18"/>
              </w:rPr>
            </w:pPr>
            <w:r>
              <w:rPr>
                <w:color w:val="000000"/>
                <w:sz w:val="18"/>
                <w:szCs w:val="18"/>
              </w:rPr>
              <w:t>PAMI y asignaciones familiares</w:t>
            </w:r>
          </w:p>
        </w:tc>
        <w:tc>
          <w:tcPr>
            <w:tcW w:w="1266" w:type="dxa"/>
            <w:shd w:val="clear" w:color="auto" w:fill="auto"/>
            <w:vAlign w:val="center"/>
          </w:tcPr>
          <w:p w14:paraId="089EA184" w14:textId="77777777" w:rsidR="00110302" w:rsidRDefault="0081674D">
            <w:pPr>
              <w:spacing w:line="240" w:lineRule="auto"/>
              <w:jc w:val="center"/>
              <w:rPr>
                <w:color w:val="000000"/>
                <w:sz w:val="18"/>
                <w:szCs w:val="18"/>
              </w:rPr>
            </w:pPr>
            <w:r>
              <w:rPr>
                <w:color w:val="000000"/>
                <w:sz w:val="18"/>
                <w:szCs w:val="18"/>
              </w:rPr>
              <w:t>Sí</w:t>
            </w:r>
          </w:p>
        </w:tc>
        <w:tc>
          <w:tcPr>
            <w:tcW w:w="986" w:type="dxa"/>
            <w:shd w:val="clear" w:color="auto" w:fill="auto"/>
            <w:vAlign w:val="center"/>
          </w:tcPr>
          <w:p w14:paraId="48A70B63" w14:textId="77777777" w:rsidR="00110302" w:rsidRDefault="0081674D">
            <w:pPr>
              <w:spacing w:line="240" w:lineRule="auto"/>
              <w:jc w:val="center"/>
              <w:rPr>
                <w:color w:val="000000"/>
                <w:sz w:val="18"/>
                <w:szCs w:val="18"/>
              </w:rPr>
            </w:pPr>
            <w:r>
              <w:rPr>
                <w:color w:val="000000"/>
                <w:sz w:val="18"/>
                <w:szCs w:val="18"/>
              </w:rPr>
              <w:t>Sí</w:t>
            </w:r>
          </w:p>
        </w:tc>
        <w:tc>
          <w:tcPr>
            <w:tcW w:w="1587" w:type="dxa"/>
            <w:shd w:val="clear" w:color="auto" w:fill="auto"/>
            <w:vAlign w:val="center"/>
          </w:tcPr>
          <w:p w14:paraId="4B6CA4EA" w14:textId="77777777" w:rsidR="00110302" w:rsidRDefault="0081674D">
            <w:pPr>
              <w:spacing w:line="240" w:lineRule="auto"/>
              <w:jc w:val="center"/>
              <w:rPr>
                <w:color w:val="000000"/>
                <w:sz w:val="18"/>
                <w:szCs w:val="18"/>
              </w:rPr>
            </w:pPr>
            <w:r>
              <w:rPr>
                <w:color w:val="000000"/>
                <w:sz w:val="18"/>
                <w:szCs w:val="18"/>
              </w:rPr>
              <w:t>-</w:t>
            </w:r>
          </w:p>
        </w:tc>
        <w:tc>
          <w:tcPr>
            <w:tcW w:w="1505" w:type="dxa"/>
            <w:shd w:val="clear" w:color="auto" w:fill="auto"/>
            <w:vAlign w:val="center"/>
          </w:tcPr>
          <w:p w14:paraId="21FF7795" w14:textId="77777777" w:rsidR="00110302" w:rsidRDefault="0081674D">
            <w:pPr>
              <w:spacing w:line="240" w:lineRule="auto"/>
              <w:jc w:val="center"/>
              <w:rPr>
                <w:color w:val="000000"/>
                <w:sz w:val="18"/>
                <w:szCs w:val="18"/>
              </w:rPr>
            </w:pPr>
            <w:r>
              <w:rPr>
                <w:color w:val="000000"/>
                <w:sz w:val="18"/>
                <w:szCs w:val="18"/>
              </w:rPr>
              <w:t>Sí</w:t>
            </w:r>
          </w:p>
        </w:tc>
      </w:tr>
      <w:tr w:rsidR="00110302" w14:paraId="61A24E07" w14:textId="77777777" w:rsidTr="000E1639">
        <w:trPr>
          <w:trHeight w:val="982"/>
        </w:trPr>
        <w:tc>
          <w:tcPr>
            <w:tcW w:w="1418" w:type="dxa"/>
            <w:tcBorders>
              <w:bottom w:val="single" w:sz="4" w:space="0" w:color="auto"/>
            </w:tcBorders>
            <w:shd w:val="clear" w:color="auto" w:fill="auto"/>
            <w:vAlign w:val="center"/>
          </w:tcPr>
          <w:p w14:paraId="404E3ADC" w14:textId="77777777" w:rsidR="00110302" w:rsidRDefault="0081674D">
            <w:pPr>
              <w:spacing w:line="240" w:lineRule="auto"/>
              <w:jc w:val="left"/>
              <w:rPr>
                <w:b/>
                <w:color w:val="000000"/>
                <w:sz w:val="18"/>
                <w:szCs w:val="18"/>
              </w:rPr>
            </w:pPr>
            <w:r>
              <w:rPr>
                <w:b/>
                <w:color w:val="000000"/>
                <w:sz w:val="18"/>
                <w:szCs w:val="18"/>
              </w:rPr>
              <w:t>Moratoria de 2023</w:t>
            </w:r>
          </w:p>
          <w:p w14:paraId="1434DA2C" w14:textId="77777777" w:rsidR="00110302" w:rsidRDefault="0081674D">
            <w:pPr>
              <w:spacing w:line="240" w:lineRule="auto"/>
              <w:jc w:val="left"/>
              <w:rPr>
                <w:b/>
                <w:color w:val="000000"/>
                <w:sz w:val="18"/>
                <w:szCs w:val="18"/>
              </w:rPr>
            </w:pPr>
            <w:r>
              <w:rPr>
                <w:b/>
                <w:color w:val="000000"/>
                <w:sz w:val="18"/>
                <w:szCs w:val="18"/>
              </w:rPr>
              <w:t xml:space="preserve">(Ley </w:t>
            </w:r>
            <w:proofErr w:type="spellStart"/>
            <w:r>
              <w:rPr>
                <w:b/>
                <w:color w:val="000000"/>
                <w:sz w:val="18"/>
                <w:szCs w:val="18"/>
              </w:rPr>
              <w:t>Nº</w:t>
            </w:r>
            <w:proofErr w:type="spellEnd"/>
            <w:r>
              <w:rPr>
                <w:b/>
                <w:color w:val="000000"/>
                <w:sz w:val="18"/>
                <w:szCs w:val="18"/>
              </w:rPr>
              <w:t xml:space="preserve"> 27.705)</w:t>
            </w:r>
          </w:p>
        </w:tc>
        <w:tc>
          <w:tcPr>
            <w:tcW w:w="1159" w:type="dxa"/>
            <w:tcBorders>
              <w:bottom w:val="single" w:sz="4" w:space="0" w:color="auto"/>
            </w:tcBorders>
            <w:shd w:val="clear" w:color="auto" w:fill="auto"/>
            <w:vAlign w:val="center"/>
          </w:tcPr>
          <w:p w14:paraId="4AA29211" w14:textId="77777777" w:rsidR="00110302" w:rsidRDefault="0081674D">
            <w:pPr>
              <w:spacing w:line="240" w:lineRule="auto"/>
              <w:jc w:val="center"/>
              <w:rPr>
                <w:color w:val="000000"/>
                <w:sz w:val="18"/>
                <w:szCs w:val="18"/>
              </w:rPr>
            </w:pPr>
            <w:r>
              <w:rPr>
                <w:color w:val="000000"/>
                <w:sz w:val="18"/>
                <w:szCs w:val="18"/>
              </w:rPr>
              <w:t>Contributivo</w:t>
            </w:r>
          </w:p>
        </w:tc>
        <w:tc>
          <w:tcPr>
            <w:tcW w:w="1393" w:type="dxa"/>
            <w:tcBorders>
              <w:bottom w:val="single" w:sz="4" w:space="0" w:color="auto"/>
            </w:tcBorders>
            <w:shd w:val="clear" w:color="auto" w:fill="auto"/>
            <w:vAlign w:val="center"/>
          </w:tcPr>
          <w:p w14:paraId="59CA65F9" w14:textId="77777777" w:rsidR="00110302" w:rsidRDefault="0081674D">
            <w:pPr>
              <w:spacing w:line="240" w:lineRule="auto"/>
              <w:jc w:val="center"/>
              <w:rPr>
                <w:color w:val="000000"/>
                <w:sz w:val="18"/>
                <w:szCs w:val="18"/>
              </w:rPr>
            </w:pPr>
            <w:r>
              <w:rPr>
                <w:color w:val="000000"/>
                <w:sz w:val="18"/>
                <w:szCs w:val="18"/>
              </w:rPr>
              <w:t xml:space="preserve">60 mujeres y </w:t>
            </w:r>
          </w:p>
          <w:p w14:paraId="44B6EC74" w14:textId="77777777" w:rsidR="00110302" w:rsidRDefault="0081674D">
            <w:pPr>
              <w:spacing w:line="240" w:lineRule="auto"/>
              <w:jc w:val="center"/>
              <w:rPr>
                <w:color w:val="000000"/>
                <w:sz w:val="18"/>
                <w:szCs w:val="18"/>
              </w:rPr>
            </w:pPr>
            <w:r>
              <w:rPr>
                <w:color w:val="000000"/>
                <w:sz w:val="18"/>
                <w:szCs w:val="18"/>
              </w:rPr>
              <w:t>65 hombres</w:t>
            </w:r>
          </w:p>
        </w:tc>
        <w:tc>
          <w:tcPr>
            <w:tcW w:w="992" w:type="dxa"/>
            <w:tcBorders>
              <w:bottom w:val="single" w:sz="4" w:space="0" w:color="auto"/>
            </w:tcBorders>
            <w:shd w:val="clear" w:color="auto" w:fill="auto"/>
            <w:vAlign w:val="center"/>
          </w:tcPr>
          <w:p w14:paraId="389A06AB" w14:textId="77777777" w:rsidR="00110302" w:rsidRDefault="0081674D">
            <w:pPr>
              <w:spacing w:line="240" w:lineRule="auto"/>
              <w:jc w:val="center"/>
              <w:rPr>
                <w:color w:val="000000"/>
                <w:sz w:val="18"/>
                <w:szCs w:val="18"/>
              </w:rPr>
            </w:pPr>
            <w:r>
              <w:rPr>
                <w:color w:val="000000"/>
                <w:sz w:val="18"/>
                <w:szCs w:val="18"/>
              </w:rPr>
              <w:t>Jubilación mínima</w:t>
            </w:r>
          </w:p>
        </w:tc>
        <w:tc>
          <w:tcPr>
            <w:tcW w:w="1187" w:type="dxa"/>
            <w:tcBorders>
              <w:bottom w:val="single" w:sz="4" w:space="0" w:color="auto"/>
            </w:tcBorders>
            <w:shd w:val="clear" w:color="auto" w:fill="auto"/>
            <w:vAlign w:val="center"/>
          </w:tcPr>
          <w:p w14:paraId="07FE9083" w14:textId="77777777" w:rsidR="00110302" w:rsidRDefault="0081674D">
            <w:pPr>
              <w:spacing w:line="240" w:lineRule="auto"/>
              <w:jc w:val="center"/>
              <w:rPr>
                <w:color w:val="000000"/>
                <w:sz w:val="18"/>
                <w:szCs w:val="18"/>
              </w:rPr>
            </w:pPr>
            <w:r>
              <w:rPr>
                <w:color w:val="000000"/>
                <w:sz w:val="18"/>
                <w:szCs w:val="18"/>
              </w:rPr>
              <w:t>PAMI y asignaciones familiares</w:t>
            </w:r>
          </w:p>
        </w:tc>
        <w:tc>
          <w:tcPr>
            <w:tcW w:w="1266" w:type="dxa"/>
            <w:tcBorders>
              <w:bottom w:val="single" w:sz="4" w:space="0" w:color="auto"/>
            </w:tcBorders>
            <w:shd w:val="clear" w:color="auto" w:fill="auto"/>
            <w:vAlign w:val="center"/>
          </w:tcPr>
          <w:p w14:paraId="4BFAA285" w14:textId="77777777" w:rsidR="00110302" w:rsidRDefault="0081674D">
            <w:pPr>
              <w:spacing w:line="240" w:lineRule="auto"/>
              <w:jc w:val="center"/>
              <w:rPr>
                <w:color w:val="000000"/>
                <w:sz w:val="18"/>
                <w:szCs w:val="18"/>
              </w:rPr>
            </w:pPr>
            <w:r>
              <w:rPr>
                <w:color w:val="000000"/>
                <w:sz w:val="18"/>
                <w:szCs w:val="18"/>
              </w:rPr>
              <w:t>Sí</w:t>
            </w:r>
          </w:p>
        </w:tc>
        <w:tc>
          <w:tcPr>
            <w:tcW w:w="986" w:type="dxa"/>
            <w:tcBorders>
              <w:bottom w:val="single" w:sz="4" w:space="0" w:color="auto"/>
            </w:tcBorders>
            <w:shd w:val="clear" w:color="auto" w:fill="auto"/>
            <w:vAlign w:val="center"/>
          </w:tcPr>
          <w:p w14:paraId="6939933E" w14:textId="77777777" w:rsidR="00110302" w:rsidRDefault="0081674D">
            <w:pPr>
              <w:spacing w:line="240" w:lineRule="auto"/>
              <w:jc w:val="center"/>
              <w:rPr>
                <w:color w:val="000000"/>
                <w:sz w:val="18"/>
                <w:szCs w:val="18"/>
              </w:rPr>
            </w:pPr>
            <w:r>
              <w:rPr>
                <w:color w:val="000000"/>
                <w:sz w:val="18"/>
                <w:szCs w:val="18"/>
              </w:rPr>
              <w:t>Sí</w:t>
            </w:r>
          </w:p>
        </w:tc>
        <w:tc>
          <w:tcPr>
            <w:tcW w:w="1587" w:type="dxa"/>
            <w:tcBorders>
              <w:bottom w:val="single" w:sz="4" w:space="0" w:color="auto"/>
            </w:tcBorders>
            <w:shd w:val="clear" w:color="auto" w:fill="auto"/>
            <w:vAlign w:val="center"/>
          </w:tcPr>
          <w:p w14:paraId="60D2A3F0" w14:textId="77777777" w:rsidR="00110302" w:rsidRDefault="0081674D">
            <w:pPr>
              <w:spacing w:line="240" w:lineRule="auto"/>
              <w:jc w:val="center"/>
              <w:rPr>
                <w:color w:val="000000"/>
                <w:sz w:val="18"/>
                <w:szCs w:val="18"/>
              </w:rPr>
            </w:pPr>
            <w:r>
              <w:rPr>
                <w:color w:val="000000"/>
                <w:sz w:val="18"/>
                <w:szCs w:val="18"/>
              </w:rPr>
              <w:t>-</w:t>
            </w:r>
          </w:p>
        </w:tc>
        <w:tc>
          <w:tcPr>
            <w:tcW w:w="1505" w:type="dxa"/>
            <w:tcBorders>
              <w:bottom w:val="single" w:sz="4" w:space="0" w:color="auto"/>
            </w:tcBorders>
            <w:shd w:val="clear" w:color="auto" w:fill="auto"/>
            <w:vAlign w:val="center"/>
          </w:tcPr>
          <w:p w14:paraId="0BE8160B" w14:textId="77777777" w:rsidR="00110302" w:rsidRDefault="0081674D">
            <w:pPr>
              <w:spacing w:line="240" w:lineRule="auto"/>
              <w:jc w:val="center"/>
              <w:rPr>
                <w:color w:val="000000"/>
                <w:sz w:val="18"/>
                <w:szCs w:val="18"/>
              </w:rPr>
            </w:pPr>
            <w:r>
              <w:rPr>
                <w:color w:val="000000"/>
                <w:sz w:val="18"/>
                <w:szCs w:val="18"/>
              </w:rPr>
              <w:t>Sí</w:t>
            </w:r>
          </w:p>
        </w:tc>
      </w:tr>
      <w:tr w:rsidR="00110302" w14:paraId="24D337B2" w14:textId="77777777" w:rsidTr="000E1639">
        <w:trPr>
          <w:trHeight w:val="300"/>
        </w:trPr>
        <w:tc>
          <w:tcPr>
            <w:tcW w:w="1418" w:type="dxa"/>
            <w:tcBorders>
              <w:top w:val="single" w:sz="4" w:space="0" w:color="auto"/>
              <w:bottom w:val="single" w:sz="12" w:space="0" w:color="auto"/>
            </w:tcBorders>
            <w:shd w:val="clear" w:color="auto" w:fill="auto"/>
            <w:vAlign w:val="center"/>
          </w:tcPr>
          <w:p w14:paraId="2A985EED" w14:textId="77777777" w:rsidR="00110302" w:rsidRDefault="0081674D">
            <w:pPr>
              <w:spacing w:line="240" w:lineRule="auto"/>
              <w:jc w:val="left"/>
              <w:rPr>
                <w:b/>
                <w:color w:val="000000"/>
                <w:sz w:val="18"/>
                <w:szCs w:val="18"/>
              </w:rPr>
            </w:pPr>
            <w:r>
              <w:rPr>
                <w:b/>
                <w:color w:val="000000"/>
                <w:sz w:val="18"/>
                <w:szCs w:val="18"/>
              </w:rPr>
              <w:t>Pensión por fallecimiento</w:t>
            </w:r>
          </w:p>
        </w:tc>
        <w:tc>
          <w:tcPr>
            <w:tcW w:w="1159" w:type="dxa"/>
            <w:tcBorders>
              <w:top w:val="single" w:sz="4" w:space="0" w:color="auto"/>
              <w:bottom w:val="single" w:sz="12" w:space="0" w:color="auto"/>
            </w:tcBorders>
            <w:shd w:val="clear" w:color="auto" w:fill="auto"/>
            <w:vAlign w:val="center"/>
          </w:tcPr>
          <w:p w14:paraId="327E71A8" w14:textId="77777777" w:rsidR="00110302" w:rsidRDefault="0081674D">
            <w:pPr>
              <w:spacing w:line="240" w:lineRule="auto"/>
              <w:jc w:val="center"/>
              <w:rPr>
                <w:color w:val="000000"/>
                <w:sz w:val="18"/>
                <w:szCs w:val="18"/>
              </w:rPr>
            </w:pPr>
            <w:r>
              <w:rPr>
                <w:color w:val="000000"/>
                <w:sz w:val="18"/>
                <w:szCs w:val="18"/>
              </w:rPr>
              <w:t>Contributivo</w:t>
            </w:r>
          </w:p>
        </w:tc>
        <w:tc>
          <w:tcPr>
            <w:tcW w:w="1393" w:type="dxa"/>
            <w:tcBorders>
              <w:top w:val="single" w:sz="4" w:space="0" w:color="auto"/>
              <w:bottom w:val="single" w:sz="12" w:space="0" w:color="auto"/>
            </w:tcBorders>
            <w:shd w:val="clear" w:color="auto" w:fill="auto"/>
            <w:vAlign w:val="center"/>
          </w:tcPr>
          <w:p w14:paraId="37DAFF6A" w14:textId="77777777" w:rsidR="00110302" w:rsidRDefault="0081674D">
            <w:pPr>
              <w:spacing w:line="240" w:lineRule="auto"/>
              <w:jc w:val="center"/>
              <w:rPr>
                <w:color w:val="000000"/>
                <w:sz w:val="18"/>
                <w:szCs w:val="18"/>
              </w:rPr>
            </w:pPr>
            <w:r>
              <w:rPr>
                <w:color w:val="000000"/>
                <w:sz w:val="18"/>
                <w:szCs w:val="18"/>
              </w:rPr>
              <w:t xml:space="preserve">Sujeto a fallecimiento de </w:t>
            </w:r>
            <w:r>
              <w:rPr>
                <w:sz w:val="18"/>
                <w:szCs w:val="18"/>
              </w:rPr>
              <w:t>cónyuge</w:t>
            </w:r>
          </w:p>
        </w:tc>
        <w:tc>
          <w:tcPr>
            <w:tcW w:w="992" w:type="dxa"/>
            <w:tcBorders>
              <w:top w:val="single" w:sz="4" w:space="0" w:color="auto"/>
              <w:bottom w:val="single" w:sz="12" w:space="0" w:color="auto"/>
            </w:tcBorders>
            <w:shd w:val="clear" w:color="auto" w:fill="auto"/>
            <w:vAlign w:val="center"/>
          </w:tcPr>
          <w:p w14:paraId="678566FD" w14:textId="77777777" w:rsidR="00110302" w:rsidRDefault="0081674D">
            <w:pPr>
              <w:spacing w:line="240" w:lineRule="auto"/>
              <w:jc w:val="center"/>
              <w:rPr>
                <w:color w:val="000000"/>
                <w:sz w:val="18"/>
                <w:szCs w:val="18"/>
              </w:rPr>
            </w:pPr>
            <w:r>
              <w:rPr>
                <w:color w:val="000000"/>
                <w:sz w:val="18"/>
                <w:szCs w:val="18"/>
              </w:rPr>
              <w:t>70% de la jubilación, con piso de jub. mínima</w:t>
            </w:r>
          </w:p>
        </w:tc>
        <w:tc>
          <w:tcPr>
            <w:tcW w:w="1187" w:type="dxa"/>
            <w:tcBorders>
              <w:top w:val="single" w:sz="4" w:space="0" w:color="auto"/>
              <w:bottom w:val="single" w:sz="12" w:space="0" w:color="auto"/>
            </w:tcBorders>
            <w:shd w:val="clear" w:color="auto" w:fill="auto"/>
            <w:vAlign w:val="center"/>
          </w:tcPr>
          <w:p w14:paraId="03CCDDD1" w14:textId="77777777" w:rsidR="00110302" w:rsidRDefault="0081674D">
            <w:pPr>
              <w:spacing w:line="240" w:lineRule="auto"/>
              <w:jc w:val="center"/>
              <w:rPr>
                <w:color w:val="000000"/>
                <w:sz w:val="18"/>
                <w:szCs w:val="18"/>
              </w:rPr>
            </w:pPr>
            <w:r>
              <w:rPr>
                <w:color w:val="000000"/>
                <w:sz w:val="18"/>
                <w:szCs w:val="18"/>
              </w:rPr>
              <w:t>PAMI y asignaciones familiares</w:t>
            </w:r>
          </w:p>
        </w:tc>
        <w:tc>
          <w:tcPr>
            <w:tcW w:w="1266" w:type="dxa"/>
            <w:tcBorders>
              <w:top w:val="single" w:sz="4" w:space="0" w:color="auto"/>
              <w:bottom w:val="single" w:sz="12" w:space="0" w:color="auto"/>
            </w:tcBorders>
            <w:shd w:val="clear" w:color="auto" w:fill="auto"/>
            <w:vAlign w:val="center"/>
          </w:tcPr>
          <w:p w14:paraId="65664F99" w14:textId="77777777" w:rsidR="00110302" w:rsidRDefault="0081674D">
            <w:pPr>
              <w:spacing w:line="240" w:lineRule="auto"/>
              <w:jc w:val="center"/>
              <w:rPr>
                <w:color w:val="000000"/>
                <w:sz w:val="18"/>
                <w:szCs w:val="18"/>
              </w:rPr>
            </w:pPr>
            <w:r>
              <w:rPr>
                <w:color w:val="000000"/>
                <w:sz w:val="18"/>
                <w:szCs w:val="18"/>
              </w:rPr>
              <w:t>No</w:t>
            </w:r>
          </w:p>
        </w:tc>
        <w:tc>
          <w:tcPr>
            <w:tcW w:w="986" w:type="dxa"/>
            <w:tcBorders>
              <w:top w:val="single" w:sz="4" w:space="0" w:color="auto"/>
              <w:bottom w:val="single" w:sz="12" w:space="0" w:color="auto"/>
            </w:tcBorders>
            <w:shd w:val="clear" w:color="auto" w:fill="auto"/>
            <w:vAlign w:val="center"/>
          </w:tcPr>
          <w:p w14:paraId="21089506" w14:textId="77777777" w:rsidR="00110302" w:rsidRDefault="0081674D">
            <w:pPr>
              <w:spacing w:line="240" w:lineRule="auto"/>
              <w:jc w:val="center"/>
              <w:rPr>
                <w:color w:val="000000"/>
                <w:sz w:val="18"/>
                <w:szCs w:val="18"/>
              </w:rPr>
            </w:pPr>
            <w:r>
              <w:rPr>
                <w:color w:val="000000"/>
                <w:sz w:val="18"/>
                <w:szCs w:val="18"/>
              </w:rPr>
              <w:t>Sí</w:t>
            </w:r>
          </w:p>
        </w:tc>
        <w:tc>
          <w:tcPr>
            <w:tcW w:w="1587" w:type="dxa"/>
            <w:tcBorders>
              <w:top w:val="single" w:sz="4" w:space="0" w:color="auto"/>
              <w:bottom w:val="single" w:sz="12" w:space="0" w:color="auto"/>
            </w:tcBorders>
            <w:shd w:val="clear" w:color="auto" w:fill="auto"/>
            <w:vAlign w:val="center"/>
          </w:tcPr>
          <w:p w14:paraId="6149C4FE" w14:textId="77777777" w:rsidR="00110302" w:rsidRDefault="0081674D">
            <w:pPr>
              <w:spacing w:line="240" w:lineRule="auto"/>
              <w:jc w:val="center"/>
              <w:rPr>
                <w:color w:val="000000"/>
                <w:sz w:val="18"/>
                <w:szCs w:val="18"/>
              </w:rPr>
            </w:pPr>
            <w:r>
              <w:rPr>
                <w:color w:val="000000"/>
                <w:sz w:val="18"/>
                <w:szCs w:val="18"/>
              </w:rPr>
              <w:t>Otra pensión por fallecimiento</w:t>
            </w:r>
          </w:p>
        </w:tc>
        <w:tc>
          <w:tcPr>
            <w:tcW w:w="1505" w:type="dxa"/>
            <w:tcBorders>
              <w:top w:val="single" w:sz="4" w:space="0" w:color="auto"/>
              <w:bottom w:val="single" w:sz="12" w:space="0" w:color="auto"/>
            </w:tcBorders>
            <w:shd w:val="clear" w:color="auto" w:fill="auto"/>
            <w:vAlign w:val="center"/>
          </w:tcPr>
          <w:p w14:paraId="66173EDB" w14:textId="77777777" w:rsidR="00110302" w:rsidRDefault="0081674D">
            <w:pPr>
              <w:spacing w:line="240" w:lineRule="auto"/>
              <w:jc w:val="center"/>
              <w:rPr>
                <w:color w:val="000000"/>
                <w:sz w:val="18"/>
                <w:szCs w:val="18"/>
              </w:rPr>
            </w:pPr>
            <w:r>
              <w:rPr>
                <w:color w:val="000000"/>
                <w:sz w:val="18"/>
                <w:szCs w:val="18"/>
              </w:rPr>
              <w:t>No</w:t>
            </w:r>
          </w:p>
        </w:tc>
      </w:tr>
    </w:tbl>
    <w:p w14:paraId="560C5CDD" w14:textId="77777777" w:rsidR="00110302" w:rsidRDefault="0081674D">
      <w:pPr>
        <w:jc w:val="center"/>
        <w:rPr>
          <w:sz w:val="20"/>
          <w:szCs w:val="20"/>
        </w:rPr>
      </w:pPr>
      <w:r w:rsidRPr="000E1639">
        <w:rPr>
          <w:b/>
          <w:bCs/>
          <w:sz w:val="20"/>
          <w:szCs w:val="20"/>
        </w:rPr>
        <w:t>Fuente:</w:t>
      </w:r>
      <w:r>
        <w:rPr>
          <w:sz w:val="20"/>
          <w:szCs w:val="20"/>
        </w:rPr>
        <w:t xml:space="preserve"> Idesa en base a ANSES.</w:t>
      </w:r>
    </w:p>
    <w:p w14:paraId="335362C7" w14:textId="77777777" w:rsidR="00110302" w:rsidRPr="003A2F81" w:rsidRDefault="00110302">
      <w:pPr>
        <w:rPr>
          <w:sz w:val="18"/>
          <w:szCs w:val="18"/>
        </w:rPr>
      </w:pPr>
    </w:p>
    <w:p w14:paraId="210133A0" w14:textId="77777777" w:rsidR="00110302" w:rsidRDefault="0081674D">
      <w:r>
        <w:t xml:space="preserve">Esto refleja una clara superposición de </w:t>
      </w:r>
      <w:r>
        <w:t>mecanismos que intentan resolver el mismo problema: la falta de ingresos en la vejez por falta de aportes.</w:t>
      </w:r>
      <w:r w:rsidR="008E331C">
        <w:t xml:space="preserve"> </w:t>
      </w:r>
      <w:r>
        <w:t xml:space="preserve">Se </w:t>
      </w:r>
      <w:proofErr w:type="gramStart"/>
      <w:r>
        <w:t>observa</w:t>
      </w:r>
      <w:proofErr w:type="gramEnd"/>
      <w:r>
        <w:t xml:space="preserve"> además, que aún hoy en día, un trabajador puede acceder a una jubilación contributiva a través de planes de pago.</w:t>
      </w:r>
    </w:p>
    <w:p w14:paraId="462657F8" w14:textId="77777777" w:rsidR="00110302" w:rsidRPr="003A2F81" w:rsidRDefault="00110302">
      <w:pPr>
        <w:rPr>
          <w:sz w:val="18"/>
          <w:szCs w:val="18"/>
        </w:rPr>
      </w:pPr>
    </w:p>
    <w:p w14:paraId="48098C93" w14:textId="77777777" w:rsidR="00BB37F0" w:rsidRPr="00BB37F0" w:rsidRDefault="00BB37F0">
      <w:pPr>
        <w:rPr>
          <w:b/>
          <w:sz w:val="24"/>
          <w:szCs w:val="24"/>
        </w:rPr>
      </w:pPr>
      <w:r w:rsidRPr="00BB37F0">
        <w:rPr>
          <w:b/>
          <w:sz w:val="24"/>
          <w:szCs w:val="24"/>
        </w:rPr>
        <w:t>Hacia el ordenamiento</w:t>
      </w:r>
    </w:p>
    <w:p w14:paraId="3162C82F" w14:textId="77777777" w:rsidR="00BB37F0" w:rsidRPr="003A2F81" w:rsidRDefault="00BB37F0">
      <w:pPr>
        <w:rPr>
          <w:sz w:val="14"/>
          <w:szCs w:val="14"/>
        </w:rPr>
      </w:pPr>
    </w:p>
    <w:p w14:paraId="35A67251" w14:textId="77777777" w:rsidR="00110302" w:rsidRDefault="00BB37F0">
      <w:r>
        <w:t xml:space="preserve">La urgencia marca que hay que encontrar una mejor alternativa que seguir renovando las moratorias, que solo han logrado profundizar la degradación del sistema previsional. Una alternativa superadora sería </w:t>
      </w:r>
      <w:r w:rsidRPr="00A22ED3">
        <w:rPr>
          <w:b/>
          <w:bCs/>
        </w:rPr>
        <w:t>avanzar hacia un esquema de jubilación proporcional a los años de aportes realizados con un mínimo garantizado</w:t>
      </w:r>
      <w:r>
        <w:t xml:space="preserve"> (por ejemplo, equivalente a la PUAM), como ya aplican otros países de América Latina. También sería clave modificar la PUAM para permitir que sus beneficiarios puedan seguir trabajando, como sucede con las jubilaciones contributivas.</w:t>
      </w:r>
    </w:p>
    <w:p w14:paraId="4D7C4C97" w14:textId="77777777" w:rsidR="00BB37F0" w:rsidRPr="003A2F81" w:rsidRDefault="00BB37F0">
      <w:pPr>
        <w:rPr>
          <w:sz w:val="14"/>
          <w:szCs w:val="14"/>
        </w:rPr>
      </w:pPr>
    </w:p>
    <w:p w14:paraId="34931B6A" w14:textId="77777777" w:rsidR="00BB37F0" w:rsidRDefault="00BB37F0" w:rsidP="00BB37F0">
      <w:r>
        <w:t xml:space="preserve">Sin embargo, la urgencia no debe tapar lo importante: es indispensable iniciar un proceso de </w:t>
      </w:r>
      <w:r w:rsidRPr="00A22ED3">
        <w:rPr>
          <w:b/>
          <w:bCs/>
        </w:rPr>
        <w:t>ordenamiento integral del sistema previsional</w:t>
      </w:r>
      <w:r>
        <w:t>. Esto incluye revisar los regímenes especiales, abordar la alta litigiosidad, repensar las pensiones derivadas que generan casos de doble cobertura, y revisar las cajas provinciales no transferidas. También habría que establecer mecanismos de ajuste automático que permitan adaptar el sistema a los cambios demográficos y laborales.</w:t>
      </w:r>
    </w:p>
    <w:p w14:paraId="0A8F9431" w14:textId="77777777" w:rsidR="008E331C" w:rsidRPr="003A2F81" w:rsidRDefault="008E331C" w:rsidP="00BB37F0">
      <w:pPr>
        <w:rPr>
          <w:sz w:val="14"/>
          <w:szCs w:val="14"/>
        </w:rPr>
      </w:pPr>
    </w:p>
    <w:p w14:paraId="4134D7BE" w14:textId="77777777" w:rsidR="00110302" w:rsidRDefault="00BB37F0">
      <w:r>
        <w:t xml:space="preserve">Solo así se podrá construir una solución equitativa, racional y fiscalmente sostenible. No se trata de seguir aplicando parches, sino de encarar el proceso de transformación que el sistema necesita. </w:t>
      </w:r>
    </w:p>
    <w:sectPr w:rsidR="00110302">
      <w:headerReference w:type="default" r:id="rId11"/>
      <w:footerReference w:type="default" r:id="rId12"/>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3497A7" w14:textId="77777777" w:rsidR="0081674D" w:rsidRDefault="0081674D">
      <w:pPr>
        <w:spacing w:line="240" w:lineRule="auto"/>
      </w:pPr>
      <w:r>
        <w:separator/>
      </w:r>
    </w:p>
  </w:endnote>
  <w:endnote w:type="continuationSeparator" w:id="0">
    <w:p w14:paraId="6C831DE4" w14:textId="77777777" w:rsidR="0081674D" w:rsidRDefault="008167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embedRegular r:id="rId1" w:fontKey="{5C8F8D90-F383-409B-A840-0BA1DA4DAD5A}"/>
  </w:font>
  <w:font w:name="Courier New">
    <w:panose1 w:val="02070309020205020404"/>
    <w:charset w:val="00"/>
    <w:family w:val="modern"/>
    <w:pitch w:val="fixed"/>
    <w:sig w:usb0="E0002EFF" w:usb1="C0007843" w:usb2="00000009" w:usb3="00000000" w:csb0="000001FF" w:csb1="00000000"/>
  </w:font>
  <w:font w:name="Maven Pro">
    <w:altName w:val="Calibri"/>
    <w:charset w:val="00"/>
    <w:family w:val="auto"/>
    <w:pitch w:val="default"/>
    <w:embedRegular r:id="rId2" w:fontKey="{B5F5EB41-06A8-46F9-9CD6-CC9DAEA2E6EA}"/>
    <w:embedBold r:id="rId3" w:fontKey="{53E67CA3-E5E1-498E-879A-0DEC7B4B29A2}"/>
    <w:embedItalic r:id="rId4" w:fontKey="{351889F6-6F83-4263-A729-E1C9B508C30A}"/>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embedRegular r:id="rId5" w:fontKey="{0842FDE6-B5E0-4586-8BEB-100D33438E1C}"/>
  </w:font>
  <w:font w:name="Calibri">
    <w:panose1 w:val="020F0502020204030204"/>
    <w:charset w:val="00"/>
    <w:family w:val="swiss"/>
    <w:pitch w:val="variable"/>
    <w:sig w:usb0="E4002EFF" w:usb1="C000247B" w:usb2="00000009" w:usb3="00000000" w:csb0="000001FF" w:csb1="00000000"/>
    <w:embedRegular r:id="rId6" w:fontKey="{01C19D62-9EFF-40BA-8BDC-A67A1D88464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20B25" w14:textId="77777777" w:rsidR="00110302" w:rsidRDefault="0081674D">
    <w:pPr>
      <w:jc w:val="right"/>
    </w:pPr>
    <w:r>
      <w:fldChar w:fldCharType="begin"/>
    </w:r>
    <w:r>
      <w:instrText>PAGE</w:instrText>
    </w:r>
    <w:r>
      <w:fldChar w:fldCharType="separate"/>
    </w:r>
    <w:r w:rsidR="00D2414E">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315B03" w14:textId="77777777" w:rsidR="0081674D" w:rsidRDefault="0081674D">
      <w:pPr>
        <w:spacing w:line="240" w:lineRule="auto"/>
      </w:pPr>
      <w:r>
        <w:separator/>
      </w:r>
    </w:p>
  </w:footnote>
  <w:footnote w:type="continuationSeparator" w:id="0">
    <w:p w14:paraId="25424AE0" w14:textId="77777777" w:rsidR="0081674D" w:rsidRDefault="0081674D">
      <w:pPr>
        <w:spacing w:line="240" w:lineRule="auto"/>
      </w:pPr>
      <w:r>
        <w:continuationSeparator/>
      </w:r>
    </w:p>
  </w:footnote>
  <w:footnote w:id="1">
    <w:p w14:paraId="34E7D477" w14:textId="77777777" w:rsidR="00110302" w:rsidRDefault="0081674D">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En 2005, una solicitante de 60 años (nacida en 1945) podía simular haber trabajado desde sus 18 años (1963) hasta 1993, completando así los 30 años de aportes requeridos. Sin embargo, en 2006, la Ley solo permitía simular 29 años. Así, hasta llegar a 2025</w:t>
      </w:r>
      <w:r>
        <w:rPr>
          <w:color w:val="000000"/>
          <w:sz w:val="20"/>
          <w:szCs w:val="20"/>
        </w:rPr>
        <w:t>, cuando las posibles beneficiarias solo pueden comprar 10 años de aporte con este mecanismo (nacieron en 1965, cumplieron los 18 años en 1983 y a partir de allí simulan hasta 1993).</w:t>
      </w:r>
    </w:p>
  </w:footnote>
  <w:footnote w:id="2">
    <w:p w14:paraId="3CCEA894" w14:textId="77777777" w:rsidR="008E331C" w:rsidRPr="008E331C" w:rsidRDefault="008E331C" w:rsidP="008E331C">
      <w:pPr>
        <w:pStyle w:val="Textonotapie"/>
        <w:jc w:val="both"/>
        <w:rPr>
          <w:rFonts w:ascii="Maven Pro" w:hAnsi="Maven Pro"/>
          <w:lang w:val="es-ES"/>
        </w:rPr>
      </w:pPr>
      <w:r w:rsidRPr="008E331C">
        <w:rPr>
          <w:rStyle w:val="Refdenotaalpie"/>
          <w:rFonts w:ascii="Maven Pro" w:hAnsi="Maven Pro"/>
        </w:rPr>
        <w:footnoteRef/>
      </w:r>
      <w:r w:rsidRPr="008E331C">
        <w:rPr>
          <w:rFonts w:ascii="Maven Pro" w:hAnsi="Maven Pro"/>
        </w:rPr>
        <w:t xml:space="preserve"> La moratoria de 2005 permite "comprar" aportes a un costo simbólico (unos $60 por mes), pero está restringida a un número acotado de años (solo 10 para las mujeres y 15 para los hombres). </w:t>
      </w:r>
      <w:proofErr w:type="spellStart"/>
      <w:r w:rsidRPr="008E331C">
        <w:rPr>
          <w:rFonts w:ascii="Maven Pro" w:hAnsi="Maven Pro"/>
        </w:rPr>
        <w:t>Aún</w:t>
      </w:r>
      <w:proofErr w:type="spellEnd"/>
      <w:r w:rsidRPr="008E331C">
        <w:rPr>
          <w:rFonts w:ascii="Maven Pro" w:hAnsi="Maven Pro"/>
        </w:rPr>
        <w:t xml:space="preserve"> así, los años restantes pueden completarse con la moratoria de 2023, aunque esta es más cara (a razón de $27.262 por mes), debe pagarse mientras se trabaja y del propio bolsillo.</w:t>
      </w:r>
    </w:p>
  </w:footnote>
  <w:footnote w:id="3">
    <w:p w14:paraId="5F261D51" w14:textId="77777777" w:rsidR="003A2F81" w:rsidRPr="003A2F81" w:rsidRDefault="003A2F81">
      <w:pPr>
        <w:pStyle w:val="Textonotapie"/>
        <w:rPr>
          <w:rFonts w:ascii="Maven Pro" w:hAnsi="Maven Pro"/>
          <w:lang w:val="es-ES"/>
        </w:rPr>
      </w:pPr>
      <w:r w:rsidRPr="003A2F81">
        <w:rPr>
          <w:rStyle w:val="Refdenotaalpie"/>
          <w:rFonts w:ascii="Maven Pro" w:hAnsi="Maven Pro"/>
        </w:rPr>
        <w:footnoteRef/>
      </w:r>
      <w:r w:rsidRPr="003A2F81">
        <w:rPr>
          <w:rFonts w:ascii="Maven Pro" w:hAnsi="Maven Pro"/>
        </w:rPr>
        <w:t xml:space="preserve"> </w:t>
      </w:r>
      <w:r w:rsidRPr="003A2F81">
        <w:rPr>
          <w:rFonts w:ascii="Maven Pro" w:hAnsi="Maven Pro"/>
          <w:lang w:val="es-ES"/>
        </w:rPr>
        <w:t>Propia o del cónyuge</w:t>
      </w:r>
      <w:r>
        <w:rPr>
          <w:rFonts w:ascii="Maven Pro" w:hAnsi="Maven Pro"/>
          <w:lang w:val="es-E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77DC39" w14:textId="77777777" w:rsidR="00110302" w:rsidRDefault="0081674D">
    <w:r>
      <w:rPr>
        <w:noProof/>
      </w:rPr>
      <w:drawing>
        <wp:anchor distT="0" distB="0" distL="0" distR="0" simplePos="0" relativeHeight="251658240" behindDoc="1" locked="0" layoutInCell="1" hidden="0" allowOverlap="1" wp14:anchorId="4A47544C" wp14:editId="2D79CE30">
          <wp:simplePos x="0" y="0"/>
          <wp:positionH relativeFrom="column">
            <wp:posOffset>2246475</wp:posOffset>
          </wp:positionH>
          <wp:positionV relativeFrom="paragraph">
            <wp:posOffset>-247648</wp:posOffset>
          </wp:positionV>
          <wp:extent cx="1233488" cy="700088"/>
          <wp:effectExtent l="0" t="0" r="0" b="0"/>
          <wp:wrapNone/>
          <wp:docPr id="23204617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24250" t="37000" r="23249" b="33250"/>
                  <a:stretch>
                    <a:fillRect/>
                  </a:stretch>
                </pic:blipFill>
                <pic:spPr>
                  <a:xfrm>
                    <a:off x="0" y="0"/>
                    <a:ext cx="1233488" cy="700088"/>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9240BEB"/>
    <w:multiLevelType w:val="multilevel"/>
    <w:tmpl w:val="B404A9C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71C609FA"/>
    <w:multiLevelType w:val="multilevel"/>
    <w:tmpl w:val="C4E8AD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AB8256B"/>
    <w:multiLevelType w:val="multilevel"/>
    <w:tmpl w:val="6F2E9F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0302"/>
    <w:rsid w:val="00013877"/>
    <w:rsid w:val="000E1639"/>
    <w:rsid w:val="00110302"/>
    <w:rsid w:val="001327A4"/>
    <w:rsid w:val="001F7602"/>
    <w:rsid w:val="00292773"/>
    <w:rsid w:val="002F1E7B"/>
    <w:rsid w:val="0033288D"/>
    <w:rsid w:val="00387A35"/>
    <w:rsid w:val="003A2F81"/>
    <w:rsid w:val="005657F5"/>
    <w:rsid w:val="006D3487"/>
    <w:rsid w:val="0077759C"/>
    <w:rsid w:val="00794E5C"/>
    <w:rsid w:val="007E4529"/>
    <w:rsid w:val="0081674D"/>
    <w:rsid w:val="008371ED"/>
    <w:rsid w:val="008E331C"/>
    <w:rsid w:val="008E3803"/>
    <w:rsid w:val="009167EC"/>
    <w:rsid w:val="009F491B"/>
    <w:rsid w:val="00A22ED3"/>
    <w:rsid w:val="00A45285"/>
    <w:rsid w:val="00BB37F0"/>
    <w:rsid w:val="00D2414E"/>
    <w:rsid w:val="00EB342C"/>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AF6BB"/>
  <w15:docId w15:val="{72193AF7-3F57-41D4-9EEF-1C49B4C36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Maven Pro" w:eastAsia="Maven Pro" w:hAnsi="Maven Pro" w:cs="Maven Pro"/>
        <w:sz w:val="22"/>
        <w:szCs w:val="22"/>
        <w:lang w:val="es-ES" w:eastAsia="es-AR" w:bidi="ar-SA"/>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1639"/>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pPr>
    <w:rPr>
      <w:rFonts w:ascii="Arial" w:eastAsia="Arial" w:hAnsi="Arial" w:cs="Arial"/>
      <w:color w:val="666666"/>
      <w:sz w:val="30"/>
      <w:szCs w:val="30"/>
    </w:rPr>
  </w:style>
  <w:style w:type="paragraph" w:styleId="Encabezado">
    <w:name w:val="header"/>
    <w:basedOn w:val="Normal"/>
    <w:link w:val="EncabezadoCar"/>
    <w:uiPriority w:val="99"/>
    <w:unhideWhenUsed/>
    <w:rsid w:val="0063276C"/>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63276C"/>
  </w:style>
  <w:style w:type="paragraph" w:styleId="Piedepgina">
    <w:name w:val="footer"/>
    <w:basedOn w:val="Normal"/>
    <w:link w:val="PiedepginaCar"/>
    <w:uiPriority w:val="99"/>
    <w:unhideWhenUsed/>
    <w:rsid w:val="0063276C"/>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63276C"/>
  </w:style>
  <w:style w:type="paragraph" w:styleId="Prrafodelista">
    <w:name w:val="List Paragraph"/>
    <w:basedOn w:val="Normal"/>
    <w:uiPriority w:val="34"/>
    <w:qFormat/>
    <w:rsid w:val="0063276C"/>
    <w:pPr>
      <w:spacing w:after="160" w:line="259" w:lineRule="auto"/>
      <w:ind w:left="720"/>
      <w:contextualSpacing/>
      <w:jc w:val="left"/>
    </w:pPr>
    <w:rPr>
      <w:rFonts w:asciiTheme="minorHAnsi" w:eastAsiaTheme="minorHAnsi" w:hAnsiTheme="minorHAnsi" w:cstheme="minorBidi"/>
      <w:lang w:val="es-AR" w:eastAsia="en-US"/>
    </w:rPr>
  </w:style>
  <w:style w:type="paragraph" w:styleId="Textonotapie">
    <w:name w:val="footnote text"/>
    <w:basedOn w:val="Normal"/>
    <w:link w:val="TextonotapieCar"/>
    <w:uiPriority w:val="99"/>
    <w:semiHidden/>
    <w:unhideWhenUsed/>
    <w:rsid w:val="0063276C"/>
    <w:pPr>
      <w:spacing w:line="240" w:lineRule="auto"/>
      <w:jc w:val="left"/>
    </w:pPr>
    <w:rPr>
      <w:rFonts w:asciiTheme="minorHAnsi" w:eastAsiaTheme="minorHAnsi" w:hAnsiTheme="minorHAnsi" w:cstheme="minorBidi"/>
      <w:sz w:val="20"/>
      <w:szCs w:val="20"/>
      <w:lang w:val="es-AR" w:eastAsia="en-US"/>
    </w:rPr>
  </w:style>
  <w:style w:type="character" w:customStyle="1" w:styleId="TextonotapieCar">
    <w:name w:val="Texto nota pie Car"/>
    <w:basedOn w:val="Fuentedeprrafopredeter"/>
    <w:link w:val="Textonotapie"/>
    <w:uiPriority w:val="99"/>
    <w:semiHidden/>
    <w:rsid w:val="0063276C"/>
    <w:rPr>
      <w:rFonts w:asciiTheme="minorHAnsi" w:eastAsiaTheme="minorHAnsi" w:hAnsiTheme="minorHAnsi" w:cstheme="minorBidi"/>
      <w:sz w:val="20"/>
      <w:szCs w:val="20"/>
      <w:lang w:val="es-AR" w:eastAsia="en-US"/>
    </w:rPr>
  </w:style>
  <w:style w:type="character" w:styleId="Refdenotaalpie">
    <w:name w:val="footnote reference"/>
    <w:basedOn w:val="Fuentedeprrafopredeter"/>
    <w:uiPriority w:val="99"/>
    <w:semiHidden/>
    <w:unhideWhenUsed/>
    <w:rsid w:val="0063276C"/>
    <w:rPr>
      <w:vertAlign w:val="superscript"/>
    </w:rPr>
  </w:style>
  <w:style w:type="table" w:customStyle="1" w:styleId="a">
    <w:basedOn w:val="TableNormal0"/>
    <w:tblPr>
      <w:tblStyleRowBandSize w:val="1"/>
      <w:tblStyleColBandSize w:val="1"/>
      <w:tblCellMar>
        <w:left w:w="70" w:type="dxa"/>
        <w:right w:w="70"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chart" Target="charts/chart1.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Patricio\Downloads\Serie%20completa%20desempleo%20juvenil.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5890136514000834E-2"/>
          <c:y val="9.2992909344856114E-2"/>
          <c:w val="0.80362422152852198"/>
          <c:h val="0.66558729146718176"/>
        </c:manualLayout>
      </c:layout>
      <c:barChart>
        <c:barDir val="col"/>
        <c:grouping val="clustered"/>
        <c:varyColors val="0"/>
        <c:ser>
          <c:idx val="0"/>
          <c:order val="0"/>
          <c:tx>
            <c:strRef>
              <c:f>'TRAMO 15-24'!$B$12</c:f>
              <c:strCache>
                <c:ptCount val="1"/>
                <c:pt idx="0">
                  <c:v>Tasa de desempleo 15-24</c:v>
                </c:pt>
              </c:strCache>
            </c:strRef>
          </c:tx>
          <c:spPr>
            <a:solidFill>
              <a:srgbClr val="9F8AB8"/>
            </a:solidFill>
            <a:ln>
              <a:noFill/>
            </a:ln>
            <a:effectLst/>
          </c:spPr>
          <c:invertIfNegative val="0"/>
          <c:dPt>
            <c:idx val="3"/>
            <c:invertIfNegative val="0"/>
            <c:bubble3D val="0"/>
            <c:spPr>
              <a:solidFill>
                <a:schemeClr val="accent4">
                  <a:lumMod val="75000"/>
                </a:schemeClr>
              </a:solidFill>
              <a:ln>
                <a:noFill/>
              </a:ln>
              <a:effectLst/>
            </c:spPr>
            <c:extLst>
              <c:ext xmlns:c16="http://schemas.microsoft.com/office/drawing/2014/chart" uri="{C3380CC4-5D6E-409C-BE32-E72D297353CC}">
                <c16:uniqueId val="{00000001-B2B4-485D-84CC-F53F8C43D5B2}"/>
              </c:ext>
            </c:extLst>
          </c:dPt>
          <c:dPt>
            <c:idx val="10"/>
            <c:invertIfNegative val="0"/>
            <c:bubble3D val="0"/>
            <c:spPr>
              <a:solidFill>
                <a:schemeClr val="accent4">
                  <a:lumMod val="75000"/>
                </a:schemeClr>
              </a:solidFill>
              <a:ln w="22225">
                <a:solidFill>
                  <a:schemeClr val="accent4">
                    <a:lumMod val="75000"/>
                  </a:schemeClr>
                </a:solidFill>
              </a:ln>
              <a:effectLst/>
            </c:spPr>
            <c:extLst>
              <c:ext xmlns:c16="http://schemas.microsoft.com/office/drawing/2014/chart" uri="{C3380CC4-5D6E-409C-BE32-E72D297353CC}">
                <c16:uniqueId val="{00000003-B2B4-485D-84CC-F53F8C43D5B2}"/>
              </c:ext>
            </c:extLst>
          </c:dPt>
          <c:dLbls>
            <c:numFmt formatCode="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j-lt"/>
                    <a:ea typeface="+mn-ea"/>
                    <a:cs typeface="+mn-cs"/>
                  </a:defRPr>
                </a:pPr>
                <a:endParaRPr lang="es-A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'TRAMO 15-24'!$A$13:$A$15</c:f>
              <c:strCache>
                <c:ptCount val="3"/>
                <c:pt idx="0">
                  <c:v>Pensión no contributiva</c:v>
                </c:pt>
                <c:pt idx="1">
                  <c:v>Jubilación proporcional</c:v>
                </c:pt>
                <c:pt idx="2">
                  <c:v>Compra de aportes</c:v>
                </c:pt>
              </c:strCache>
            </c:strRef>
          </c:cat>
          <c:val>
            <c:numRef>
              <c:f>'TRAMO 15-24'!$B$13:$B$15</c:f>
              <c:numCache>
                <c:formatCode>0.0%</c:formatCode>
                <c:ptCount val="3"/>
                <c:pt idx="0">
                  <c:v>0.89</c:v>
                </c:pt>
                <c:pt idx="1">
                  <c:v>0.61</c:v>
                </c:pt>
                <c:pt idx="2">
                  <c:v>0.22</c:v>
                </c:pt>
              </c:numCache>
            </c:numRef>
          </c:val>
          <c:extLst>
            <c:ext xmlns:c16="http://schemas.microsoft.com/office/drawing/2014/chart" uri="{C3380CC4-5D6E-409C-BE32-E72D297353CC}">
              <c16:uniqueId val="{00000004-B2B4-485D-84CC-F53F8C43D5B2}"/>
            </c:ext>
          </c:extLst>
        </c:ser>
        <c:dLbls>
          <c:showLegendKey val="0"/>
          <c:showVal val="0"/>
          <c:showCatName val="0"/>
          <c:showSerName val="0"/>
          <c:showPercent val="0"/>
          <c:showBubbleSize val="0"/>
        </c:dLbls>
        <c:gapWidth val="24"/>
        <c:axId val="817862128"/>
        <c:axId val="817853488"/>
      </c:barChart>
      <c:catAx>
        <c:axId val="817862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j-lt"/>
                <a:ea typeface="+mn-ea"/>
                <a:cs typeface="+mn-cs"/>
              </a:defRPr>
            </a:pPr>
            <a:endParaRPr lang="es-AR"/>
          </a:p>
        </c:txPr>
        <c:crossAx val="817853488"/>
        <c:crosses val="autoZero"/>
        <c:auto val="1"/>
        <c:lblAlgn val="ctr"/>
        <c:lblOffset val="100"/>
        <c:noMultiLvlLbl val="0"/>
      </c:catAx>
      <c:valAx>
        <c:axId val="817853488"/>
        <c:scaling>
          <c:orientation val="minMax"/>
        </c:scaling>
        <c:delete val="1"/>
        <c:axPos val="l"/>
        <c:numFmt formatCode="0.0%" sourceLinked="1"/>
        <c:majorTickMark val="none"/>
        <c:minorTickMark val="none"/>
        <c:tickLblPos val="nextTo"/>
        <c:crossAx val="81786212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s-A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8QBDQbZSfNIzTSCddD9OnI/1esg==">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</go:docsCustomData>
</go:gDocsCustomXmlDataStorage>
</file>

<file path=customXml/itemProps1.xml><?xml version="1.0" encoding="utf-8"?>
<ds:datastoreItem xmlns:ds="http://schemas.openxmlformats.org/officeDocument/2006/customXml" ds:itemID="{10896F0B-8E27-449B-92B7-B0433231021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4</Pages>
  <Words>1375</Words>
  <Characters>7566</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Patricio</dc:creator>
  <cp:lastModifiedBy>Lautaro Oviedo</cp:lastModifiedBy>
  <cp:revision>11</cp:revision>
  <dcterms:created xsi:type="dcterms:W3CDTF">2025-03-25T15:41:00Z</dcterms:created>
  <dcterms:modified xsi:type="dcterms:W3CDTF">2025-03-26T17:54:00Z</dcterms:modified>
</cp:coreProperties>
</file>