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E38495" w14:textId="77777777" w:rsidR="00574B14" w:rsidRDefault="00AD16C1">
      <w:pPr>
        <w:pBdr>
          <w:top w:val="nil"/>
          <w:left w:val="nil"/>
          <w:bottom w:val="nil"/>
          <w:right w:val="nil"/>
          <w:between w:val="nil"/>
        </w:pBdr>
        <w:rPr>
          <w:rFonts w:ascii="Cambria" w:eastAsia="Cambria" w:hAnsi="Cambria" w:cs="Cambria"/>
          <w:color w:val="4F81BD"/>
        </w:rPr>
      </w:pPr>
      <w:r>
        <w:rPr>
          <w:rFonts w:ascii="Cambria" w:eastAsia="Cambria" w:hAnsi="Cambria" w:cs="Cambria"/>
          <w:color w:val="4F81BD"/>
        </w:rPr>
        <w:t xml:space="preserve"> </w:t>
      </w:r>
    </w:p>
    <w:p w14:paraId="376233E0" w14:textId="77777777" w:rsidR="00574B14" w:rsidRDefault="00574B14">
      <w:pPr>
        <w:pBdr>
          <w:top w:val="nil"/>
          <w:left w:val="nil"/>
          <w:bottom w:val="nil"/>
          <w:right w:val="nil"/>
          <w:between w:val="nil"/>
        </w:pBdr>
        <w:rPr>
          <w:rFonts w:ascii="Cambria" w:eastAsia="Cambria" w:hAnsi="Cambria" w:cs="Cambria"/>
          <w:color w:val="4F81BD"/>
        </w:rPr>
      </w:pPr>
    </w:p>
    <w:p w14:paraId="4D6CF9DB" w14:textId="77777777" w:rsidR="00574B14" w:rsidRDefault="00574B14">
      <w:pPr>
        <w:pBdr>
          <w:top w:val="nil"/>
          <w:left w:val="nil"/>
          <w:bottom w:val="nil"/>
          <w:right w:val="nil"/>
          <w:between w:val="nil"/>
        </w:pBdr>
        <w:rPr>
          <w:rFonts w:ascii="Cambria" w:eastAsia="Cambria" w:hAnsi="Cambria" w:cs="Cambria"/>
          <w:color w:val="4F81BD"/>
        </w:rPr>
      </w:pPr>
    </w:p>
    <w:p w14:paraId="68BA2C75" w14:textId="77777777" w:rsidR="00574B14" w:rsidRDefault="00AD16C1">
      <w:pPr>
        <w:pBdr>
          <w:top w:val="nil"/>
          <w:left w:val="nil"/>
          <w:bottom w:val="nil"/>
          <w:right w:val="nil"/>
          <w:between w:val="nil"/>
        </w:pBdr>
        <w:spacing w:before="60" w:line="300" w:lineRule="auto"/>
        <w:jc w:val="right"/>
        <w:rPr>
          <w:rFonts w:ascii="Arial" w:eastAsia="Arial" w:hAnsi="Arial" w:cs="Arial"/>
          <w:color w:val="000000"/>
        </w:rPr>
      </w:pPr>
      <w:r>
        <w:rPr>
          <w:noProof/>
          <w:lang w:val="en-US"/>
        </w:rPr>
        <w:drawing>
          <wp:anchor distT="0" distB="0" distL="114935" distR="114935" simplePos="0" relativeHeight="251658240" behindDoc="0" locked="0" layoutInCell="1" hidden="0" allowOverlap="1" wp14:anchorId="03E9F259" wp14:editId="09D433E8">
            <wp:simplePos x="0" y="0"/>
            <wp:positionH relativeFrom="column">
              <wp:posOffset>4556760</wp:posOffset>
            </wp:positionH>
            <wp:positionV relativeFrom="paragraph">
              <wp:posOffset>153670</wp:posOffset>
            </wp:positionV>
            <wp:extent cx="1189990" cy="1189990"/>
            <wp:effectExtent l="0" t="0" r="0" b="0"/>
            <wp:wrapSquare wrapText="bothSides" distT="0" distB="0" distL="114935" distR="114935"/>
            <wp:docPr id="1840906765" name="image5.png"/>
            <wp:cNvGraphicFramePr/>
            <a:graphic xmlns:a="http://schemas.openxmlformats.org/drawingml/2006/main">
              <a:graphicData uri="http://schemas.openxmlformats.org/drawingml/2006/picture">
                <pic:pic xmlns:pic="http://schemas.openxmlformats.org/drawingml/2006/picture">
                  <pic:nvPicPr>
                    <pic:cNvPr id="1840906765" name="image5.png"/>
                    <pic:cNvPicPr preferRelativeResize="0"/>
                  </pic:nvPicPr>
                  <pic:blipFill>
                    <a:blip r:embed="rId8" cstate="print">
                      <a:extLst>
                        <a:ext uri="{28A0092B-C50C-407E-A947-70E740481C1C}">
                          <a14:useLocalDpi xmlns:a14="http://schemas.microsoft.com/office/drawing/2010/main" val="0"/>
                        </a:ext>
                      </a:extLst>
                    </a:blip>
                    <a:stretch>
                      <a:fillRect/>
                    </a:stretch>
                  </pic:blipFill>
                  <pic:spPr>
                    <a:xfrm>
                      <a:off x="0" y="0"/>
                      <a:ext cx="1189990" cy="1189990"/>
                    </a:xfrm>
                    <a:prstGeom prst="rect">
                      <a:avLst/>
                    </a:prstGeom>
                    <a:ln/>
                  </pic:spPr>
                </pic:pic>
              </a:graphicData>
            </a:graphic>
            <wp14:sizeRelH relativeFrom="margin">
              <wp14:pctWidth>0</wp14:pctWidth>
            </wp14:sizeRelH>
          </wp:anchor>
        </w:drawing>
      </w:r>
    </w:p>
    <w:p w14:paraId="494885E8" w14:textId="77777777" w:rsidR="00574B14" w:rsidRDefault="00AD16C1">
      <w:pPr>
        <w:pBdr>
          <w:top w:val="nil"/>
          <w:left w:val="nil"/>
          <w:bottom w:val="nil"/>
          <w:right w:val="nil"/>
          <w:between w:val="nil"/>
        </w:pBdr>
        <w:spacing w:before="60" w:line="300" w:lineRule="auto"/>
        <w:jc w:val="right"/>
        <w:rPr>
          <w:rFonts w:ascii="Arial" w:eastAsia="Arial" w:hAnsi="Arial" w:cs="Arial"/>
          <w:color w:val="000000"/>
        </w:rPr>
      </w:pPr>
      <w:r>
        <w:rPr>
          <w:noProof/>
          <w:lang w:val="en-US"/>
        </w:rPr>
        <w:drawing>
          <wp:anchor distT="0" distB="0" distL="0" distR="0" simplePos="0" relativeHeight="251659264" behindDoc="1" locked="0" layoutInCell="1" hidden="0" allowOverlap="1" wp14:anchorId="2BB46254" wp14:editId="422CE81D">
            <wp:simplePos x="0" y="0"/>
            <wp:positionH relativeFrom="column">
              <wp:posOffset>114300</wp:posOffset>
            </wp:positionH>
            <wp:positionV relativeFrom="paragraph">
              <wp:posOffset>-407660</wp:posOffset>
            </wp:positionV>
            <wp:extent cx="1942465" cy="1892300"/>
            <wp:effectExtent l="0" t="0" r="0" b="0"/>
            <wp:wrapNone/>
            <wp:docPr id="184090676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l="-21" t="-21" r="-21" b="-21"/>
                    <a:stretch>
                      <a:fillRect/>
                    </a:stretch>
                  </pic:blipFill>
                  <pic:spPr>
                    <a:xfrm>
                      <a:off x="0" y="0"/>
                      <a:ext cx="1942465" cy="1892300"/>
                    </a:xfrm>
                    <a:prstGeom prst="rect">
                      <a:avLst/>
                    </a:prstGeom>
                    <a:ln/>
                  </pic:spPr>
                </pic:pic>
              </a:graphicData>
            </a:graphic>
          </wp:anchor>
        </w:drawing>
      </w:r>
    </w:p>
    <w:p w14:paraId="7E45E35A" w14:textId="77777777" w:rsidR="00574B14" w:rsidRDefault="00574B14">
      <w:pPr>
        <w:spacing w:before="60"/>
        <w:jc w:val="right"/>
        <w:rPr>
          <w:rFonts w:ascii="Arial" w:eastAsia="Arial" w:hAnsi="Arial" w:cs="Arial"/>
          <w:sz w:val="22"/>
          <w:szCs w:val="22"/>
        </w:rPr>
      </w:pPr>
    </w:p>
    <w:p w14:paraId="5A2FFE3D" w14:textId="77777777" w:rsidR="00574B14" w:rsidRDefault="00574B14">
      <w:pPr>
        <w:spacing w:before="60"/>
        <w:jc w:val="right"/>
        <w:rPr>
          <w:rFonts w:ascii="Arial" w:eastAsia="Arial" w:hAnsi="Arial" w:cs="Arial"/>
          <w:sz w:val="22"/>
          <w:szCs w:val="22"/>
        </w:rPr>
      </w:pPr>
    </w:p>
    <w:p w14:paraId="7E393E73" w14:textId="77777777" w:rsidR="00574B14" w:rsidRDefault="00574B14">
      <w:pPr>
        <w:spacing w:before="120" w:after="120"/>
        <w:jc w:val="right"/>
        <w:rPr>
          <w:rFonts w:ascii="Arial" w:eastAsia="Arial" w:hAnsi="Arial" w:cs="Arial"/>
          <w:sz w:val="22"/>
          <w:szCs w:val="22"/>
        </w:rPr>
      </w:pPr>
    </w:p>
    <w:p w14:paraId="751DCF3D" w14:textId="77777777" w:rsidR="00574B14" w:rsidRDefault="00574B14">
      <w:pPr>
        <w:tabs>
          <w:tab w:val="left" w:pos="8310"/>
        </w:tabs>
        <w:spacing w:before="120" w:after="120"/>
        <w:rPr>
          <w:rFonts w:ascii="Arial" w:eastAsia="Arial" w:hAnsi="Arial" w:cs="Arial"/>
        </w:rPr>
      </w:pPr>
    </w:p>
    <w:p w14:paraId="13A454F8" w14:textId="77777777" w:rsidR="00574B14" w:rsidRDefault="00574B14">
      <w:pPr>
        <w:spacing w:before="120" w:after="120"/>
        <w:jc w:val="right"/>
        <w:rPr>
          <w:rFonts w:ascii="Arial" w:eastAsia="Arial" w:hAnsi="Arial" w:cs="Arial"/>
          <w:sz w:val="22"/>
          <w:szCs w:val="22"/>
        </w:rPr>
      </w:pPr>
    </w:p>
    <w:p w14:paraId="225C60AC" w14:textId="77777777" w:rsidR="00574B14" w:rsidRDefault="00574B14">
      <w:pPr>
        <w:spacing w:before="120" w:after="120"/>
        <w:jc w:val="right"/>
        <w:rPr>
          <w:rFonts w:ascii="Arial" w:eastAsia="Arial" w:hAnsi="Arial" w:cs="Arial"/>
          <w:sz w:val="22"/>
          <w:szCs w:val="22"/>
        </w:rPr>
      </w:pPr>
    </w:p>
    <w:p w14:paraId="4CF57143" w14:textId="77777777" w:rsidR="00574B14" w:rsidRDefault="00AD16C1">
      <w:pPr>
        <w:spacing w:before="120" w:after="120"/>
        <w:jc w:val="right"/>
        <w:rPr>
          <w:rFonts w:ascii="Arial" w:eastAsia="Arial" w:hAnsi="Arial" w:cs="Arial"/>
          <w:sz w:val="22"/>
          <w:szCs w:val="22"/>
        </w:rPr>
      </w:pPr>
      <w:r>
        <w:rPr>
          <w:rFonts w:ascii="Arial" w:eastAsia="Arial" w:hAnsi="Arial" w:cs="Arial"/>
          <w:sz w:val="22"/>
          <w:szCs w:val="22"/>
        </w:rPr>
        <w:t>6 de Abril de 2025 – Número 1.116</w:t>
      </w:r>
    </w:p>
    <w:p w14:paraId="7F06FBD1" w14:textId="77777777" w:rsidR="00574B14" w:rsidRDefault="00AD16C1">
      <w:pPr>
        <w:spacing w:before="120"/>
        <w:rPr>
          <w:rFonts w:ascii="Garamond" w:eastAsia="Garamond" w:hAnsi="Garamond" w:cs="Garamond"/>
          <w:b/>
          <w:sz w:val="52"/>
          <w:szCs w:val="52"/>
        </w:rPr>
      </w:pPr>
      <w:r>
        <w:rPr>
          <w:rFonts w:ascii="Arial" w:eastAsia="Arial" w:hAnsi="Arial" w:cs="Arial"/>
          <w:b/>
          <w:sz w:val="52"/>
          <w:szCs w:val="52"/>
        </w:rPr>
        <w:t>SÓLO EL 9% DE LAS EXPORTACIONES ARGENTINAS VAN A EEUU</w:t>
      </w:r>
    </w:p>
    <w:p w14:paraId="49F77105" w14:textId="7EB5D5E8" w:rsidR="00574B14" w:rsidRDefault="00AD16C1">
      <w:pPr>
        <w:spacing w:before="120"/>
        <w:jc w:val="both"/>
        <w:rPr>
          <w:rFonts w:ascii="Garamond" w:eastAsia="Garamond" w:hAnsi="Garamond" w:cs="Garamond"/>
          <w:b/>
          <w:sz w:val="28"/>
          <w:szCs w:val="28"/>
        </w:rPr>
      </w:pPr>
      <w:r>
        <w:rPr>
          <w:rFonts w:ascii="Garamond" w:eastAsia="Garamond" w:hAnsi="Garamond" w:cs="Garamond"/>
          <w:b/>
          <w:sz w:val="28"/>
          <w:szCs w:val="28"/>
        </w:rPr>
        <w:t>El impacto directo sobre la Argentina de las medidas proteccionista</w:t>
      </w:r>
      <w:sdt>
        <w:sdtPr>
          <w:tag w:val="goog_rdk_0"/>
          <w:id w:val="-313341021"/>
        </w:sdtPr>
        <w:sdtEndPr/>
        <w:sdtContent>
          <w:r>
            <w:rPr>
              <w:rFonts w:ascii="Garamond" w:eastAsia="Garamond" w:hAnsi="Garamond" w:cs="Garamond"/>
              <w:b/>
              <w:sz w:val="28"/>
              <w:szCs w:val="28"/>
            </w:rPr>
            <w:t>s</w:t>
          </w:r>
        </w:sdtContent>
      </w:sdt>
      <w:sdt>
        <w:sdtPr>
          <w:tag w:val="goog_rdk_1"/>
          <w:id w:val="-2105566788"/>
        </w:sdtPr>
        <w:sdtEndPr/>
        <w:sdtContent>
          <w:r w:rsidR="0053684C">
            <w:t xml:space="preserve"> </w:t>
          </w:r>
        </w:sdtContent>
      </w:sdt>
      <w:r>
        <w:rPr>
          <w:rFonts w:ascii="Garamond" w:eastAsia="Garamond" w:hAnsi="Garamond" w:cs="Garamond"/>
          <w:b/>
          <w:sz w:val="28"/>
          <w:szCs w:val="28"/>
        </w:rPr>
        <w:t xml:space="preserve">de Trump es limitado. Sin embargo, los efectos indirectos pueden ser muy negativos. La mejor estrategia no es copiar el proteccionismo sino profundizar las reformas, incluyendo el acuerdo de libre comercio con la Unión Europea.  </w:t>
      </w:r>
    </w:p>
    <w:p w14:paraId="34B79C77" w14:textId="394F4486" w:rsidR="00574B14" w:rsidRDefault="00AD16C1">
      <w:pPr>
        <w:spacing w:before="120" w:after="120" w:line="300" w:lineRule="auto"/>
        <w:jc w:val="both"/>
        <w:rPr>
          <w:rFonts w:ascii="Arial" w:eastAsia="Arial" w:hAnsi="Arial" w:cs="Arial"/>
        </w:rPr>
      </w:pPr>
      <w:r w:rsidRPr="00CD18B8">
        <w:rPr>
          <w:rFonts w:ascii="Arial" w:eastAsia="Arial" w:hAnsi="Arial" w:cs="Arial"/>
          <w:b/>
        </w:rPr>
        <w:t>Estados Unidos dispuso un aumento general de aranceles a las importaciones</w:t>
      </w:r>
      <w:r>
        <w:rPr>
          <w:rFonts w:ascii="Arial" w:eastAsia="Arial" w:hAnsi="Arial" w:cs="Arial"/>
        </w:rPr>
        <w:t>. El piso es una alícuota del 10%, pero es mucho más alto para los casos de la Unión Europea que pagará 20%, Japón 24%, India 2</w:t>
      </w:r>
      <w:sdt>
        <w:sdtPr>
          <w:tag w:val="goog_rdk_3"/>
          <w:id w:val="141636185"/>
        </w:sdtPr>
        <w:sdtEndPr/>
        <w:sdtContent>
          <w:r>
            <w:rPr>
              <w:rFonts w:ascii="Arial" w:eastAsia="Arial" w:hAnsi="Arial" w:cs="Arial"/>
            </w:rPr>
            <w:t>7</w:t>
          </w:r>
        </w:sdtContent>
      </w:sdt>
      <w:r>
        <w:rPr>
          <w:rFonts w:ascii="Arial" w:eastAsia="Arial" w:hAnsi="Arial" w:cs="Arial"/>
        </w:rPr>
        <w:t xml:space="preserve">%, Vietnam 46% y China </w:t>
      </w:r>
      <w:sdt>
        <w:sdtPr>
          <w:tag w:val="goog_rdk_5"/>
          <w:id w:val="1785225770"/>
        </w:sdtPr>
        <w:sdtEndPr/>
        <w:sdtContent>
          <w:r>
            <w:rPr>
              <w:rFonts w:ascii="Arial" w:eastAsia="Arial" w:hAnsi="Arial" w:cs="Arial"/>
            </w:rPr>
            <w:t>6</w:t>
          </w:r>
        </w:sdtContent>
      </w:sdt>
      <w:sdt>
        <w:sdtPr>
          <w:tag w:val="goog_rdk_6"/>
          <w:id w:val="713005620"/>
        </w:sdtPr>
        <w:sdtEndPr/>
        <w:sdtContent>
          <w:r>
            <w:rPr>
              <w:rFonts w:ascii="Arial" w:eastAsia="Arial" w:hAnsi="Arial" w:cs="Arial"/>
            </w:rPr>
            <w:t>5</w:t>
          </w:r>
        </w:sdtContent>
      </w:sdt>
      <w:r>
        <w:rPr>
          <w:rFonts w:ascii="Arial" w:eastAsia="Arial" w:hAnsi="Arial" w:cs="Arial"/>
        </w:rPr>
        <w:t>%. Esto tendrá, de manera inmediata, un impacto inflacionario sobre Estados Unidos que seguramente llevará a que la Reserva Federal aumente la tasa de interés. Las primeras reacciones son muy negativas, como lo refleja</w:t>
      </w:r>
      <w:r w:rsidR="00594692">
        <w:rPr>
          <w:rFonts w:ascii="Arial" w:eastAsia="Arial" w:hAnsi="Arial" w:cs="Arial"/>
        </w:rPr>
        <w:t>n</w:t>
      </w:r>
      <w:r>
        <w:rPr>
          <w:rFonts w:ascii="Arial" w:eastAsia="Arial" w:hAnsi="Arial" w:cs="Arial"/>
        </w:rPr>
        <w:t xml:space="preserve"> las fuertes y generalizadas caídas en las bolsas de todo el mundo.</w:t>
      </w:r>
    </w:p>
    <w:p w14:paraId="02FA5E4C" w14:textId="1F3B1963" w:rsidR="00574B14" w:rsidRDefault="00AD16C1">
      <w:pPr>
        <w:spacing w:before="120" w:after="120" w:line="300" w:lineRule="auto"/>
        <w:jc w:val="both"/>
        <w:rPr>
          <w:rFonts w:ascii="Arial" w:eastAsia="Arial" w:hAnsi="Arial" w:cs="Arial"/>
        </w:rPr>
      </w:pPr>
      <w:r w:rsidRPr="00CD18B8">
        <w:rPr>
          <w:rFonts w:ascii="Arial" w:eastAsia="Arial" w:hAnsi="Arial" w:cs="Arial"/>
          <w:b/>
        </w:rPr>
        <w:t>Lo que más preocupa es que esta decisión unilateral de los Estados Unidos seguramente provocará represalias</w:t>
      </w:r>
      <w:r>
        <w:rPr>
          <w:rFonts w:ascii="Arial" w:eastAsia="Arial" w:hAnsi="Arial" w:cs="Arial"/>
        </w:rPr>
        <w:t>. Las más importantes serán las que tome la Unión Europea y China, generando un clima de “guerra comercial” entre las principales potencias económicas. Las consecuencias serán recesivas con caídas en los precios</w:t>
      </w:r>
      <w:r w:rsidR="00594692">
        <w:rPr>
          <w:rFonts w:ascii="Arial" w:eastAsia="Arial" w:hAnsi="Arial" w:cs="Arial"/>
        </w:rPr>
        <w:t xml:space="preserve"> internacionales</w:t>
      </w:r>
      <w:r>
        <w:rPr>
          <w:rFonts w:ascii="Arial" w:eastAsia="Arial" w:hAnsi="Arial" w:cs="Arial"/>
        </w:rPr>
        <w:t xml:space="preserve"> de las materias primas. Esto afectará a todos los países incluso aquellos que no entren </w:t>
      </w:r>
      <w:r w:rsidR="0053684C">
        <w:rPr>
          <w:rFonts w:ascii="Arial" w:eastAsia="Arial" w:hAnsi="Arial" w:cs="Arial"/>
        </w:rPr>
        <w:t xml:space="preserve">de manera directa </w:t>
      </w:r>
      <w:r>
        <w:rPr>
          <w:rFonts w:ascii="Arial" w:eastAsia="Arial" w:hAnsi="Arial" w:cs="Arial"/>
        </w:rPr>
        <w:t xml:space="preserve">en el juego de la “guerra comercial”. </w:t>
      </w:r>
    </w:p>
    <w:p w14:paraId="5A002DA6" w14:textId="7A0DB773" w:rsidR="00574B14" w:rsidRDefault="00AD16C1">
      <w:pPr>
        <w:spacing w:before="120" w:after="120" w:line="300" w:lineRule="auto"/>
        <w:jc w:val="both"/>
        <w:rPr>
          <w:rFonts w:ascii="Arial" w:eastAsia="Arial" w:hAnsi="Arial" w:cs="Arial"/>
        </w:rPr>
      </w:pPr>
      <w:r>
        <w:rPr>
          <w:rFonts w:ascii="Arial" w:eastAsia="Arial" w:hAnsi="Arial" w:cs="Arial"/>
        </w:rPr>
        <w:t xml:space="preserve">La pregunta que cabe hacerse es cómo impacta este nuevo escenario internacional a la Argentina y qué desafíos y oportunidades se presentan. Según </w:t>
      </w:r>
      <w:r w:rsidR="00CD18B8">
        <w:rPr>
          <w:rFonts w:ascii="Arial" w:eastAsia="Arial" w:hAnsi="Arial" w:cs="Arial"/>
        </w:rPr>
        <w:t>datos d</w:t>
      </w:r>
      <w:r>
        <w:rPr>
          <w:rFonts w:ascii="Arial" w:eastAsia="Arial" w:hAnsi="Arial" w:cs="Arial"/>
        </w:rPr>
        <w:t>el Ministerio de Economía sobre el destino de las exportaciones argentinas en el 2024 se observa que:</w:t>
      </w:r>
    </w:p>
    <w:p w14:paraId="53E4214E" w14:textId="77777777" w:rsidR="00574B14" w:rsidRDefault="00AD16C1">
      <w:pPr>
        <w:numPr>
          <w:ilvl w:val="0"/>
          <w:numId w:val="1"/>
        </w:numPr>
        <w:spacing w:before="120" w:after="120" w:line="300" w:lineRule="auto"/>
        <w:jc w:val="both"/>
        <w:rPr>
          <w:rFonts w:ascii="Arial" w:eastAsia="Arial" w:hAnsi="Arial" w:cs="Arial"/>
        </w:rPr>
      </w:pPr>
      <w:r>
        <w:rPr>
          <w:rFonts w:ascii="Arial" w:eastAsia="Arial" w:hAnsi="Arial" w:cs="Arial"/>
        </w:rPr>
        <w:t xml:space="preserve">Las exportaciones a </w:t>
      </w:r>
      <w:r w:rsidRPr="00594692">
        <w:rPr>
          <w:rFonts w:ascii="Arial" w:eastAsia="Arial" w:hAnsi="Arial" w:cs="Arial"/>
          <w:b/>
          <w:bCs/>
        </w:rPr>
        <w:t>Estados Unidos</w:t>
      </w:r>
      <w:r>
        <w:rPr>
          <w:rFonts w:ascii="Arial" w:eastAsia="Arial" w:hAnsi="Arial" w:cs="Arial"/>
        </w:rPr>
        <w:t xml:space="preserve"> fueron el </w:t>
      </w:r>
      <w:r>
        <w:rPr>
          <w:rFonts w:ascii="Arial" w:eastAsia="Arial" w:hAnsi="Arial" w:cs="Arial"/>
          <w:b/>
        </w:rPr>
        <w:t>9%</w:t>
      </w:r>
      <w:r>
        <w:rPr>
          <w:rFonts w:ascii="Arial" w:eastAsia="Arial" w:hAnsi="Arial" w:cs="Arial"/>
        </w:rPr>
        <w:t xml:space="preserve"> del total.</w:t>
      </w:r>
    </w:p>
    <w:p w14:paraId="71DEA2AC" w14:textId="77777777" w:rsidR="00574B14" w:rsidRDefault="00AD16C1">
      <w:pPr>
        <w:numPr>
          <w:ilvl w:val="0"/>
          <w:numId w:val="1"/>
        </w:numPr>
        <w:spacing w:before="120" w:after="120" w:line="300" w:lineRule="auto"/>
        <w:jc w:val="both"/>
        <w:rPr>
          <w:rFonts w:ascii="Arial" w:eastAsia="Arial" w:hAnsi="Arial" w:cs="Arial"/>
        </w:rPr>
      </w:pPr>
      <w:r>
        <w:rPr>
          <w:rFonts w:ascii="Arial" w:eastAsia="Arial" w:hAnsi="Arial" w:cs="Arial"/>
        </w:rPr>
        <w:t xml:space="preserve">Las exportaciones al </w:t>
      </w:r>
      <w:r w:rsidRPr="00594692">
        <w:rPr>
          <w:rFonts w:ascii="Arial" w:eastAsia="Arial" w:hAnsi="Arial" w:cs="Arial"/>
          <w:b/>
          <w:bCs/>
        </w:rPr>
        <w:t>Mercosur</w:t>
      </w:r>
      <w:r>
        <w:rPr>
          <w:rFonts w:ascii="Arial" w:eastAsia="Arial" w:hAnsi="Arial" w:cs="Arial"/>
        </w:rPr>
        <w:t xml:space="preserve"> fueron el </w:t>
      </w:r>
      <w:r>
        <w:rPr>
          <w:rFonts w:ascii="Arial" w:eastAsia="Arial" w:hAnsi="Arial" w:cs="Arial"/>
          <w:b/>
        </w:rPr>
        <w:t>24%</w:t>
      </w:r>
      <w:r>
        <w:rPr>
          <w:rFonts w:ascii="Arial" w:eastAsia="Arial" w:hAnsi="Arial" w:cs="Arial"/>
        </w:rPr>
        <w:t xml:space="preserve"> del total.</w:t>
      </w:r>
    </w:p>
    <w:p w14:paraId="05138B90" w14:textId="77777777" w:rsidR="00574B14" w:rsidRDefault="00AD16C1">
      <w:pPr>
        <w:numPr>
          <w:ilvl w:val="0"/>
          <w:numId w:val="1"/>
        </w:numPr>
        <w:spacing w:before="120" w:after="120" w:line="300" w:lineRule="auto"/>
        <w:jc w:val="both"/>
        <w:rPr>
          <w:rFonts w:ascii="Arial" w:eastAsia="Arial" w:hAnsi="Arial" w:cs="Arial"/>
        </w:rPr>
      </w:pPr>
      <w:r>
        <w:rPr>
          <w:rFonts w:ascii="Arial" w:eastAsia="Arial" w:hAnsi="Arial" w:cs="Arial"/>
        </w:rPr>
        <w:t xml:space="preserve">Las exportaciones al </w:t>
      </w:r>
      <w:r w:rsidRPr="00594692">
        <w:rPr>
          <w:rFonts w:ascii="Arial" w:eastAsia="Arial" w:hAnsi="Arial" w:cs="Arial"/>
          <w:b/>
          <w:bCs/>
        </w:rPr>
        <w:t>resto del mundo</w:t>
      </w:r>
      <w:r>
        <w:rPr>
          <w:rFonts w:ascii="Arial" w:eastAsia="Arial" w:hAnsi="Arial" w:cs="Arial"/>
        </w:rPr>
        <w:t xml:space="preserve"> representan el </w:t>
      </w:r>
      <w:r>
        <w:rPr>
          <w:rFonts w:ascii="Arial" w:eastAsia="Arial" w:hAnsi="Arial" w:cs="Arial"/>
          <w:b/>
        </w:rPr>
        <w:t>67%</w:t>
      </w:r>
      <w:r>
        <w:rPr>
          <w:rFonts w:ascii="Arial" w:eastAsia="Arial" w:hAnsi="Arial" w:cs="Arial"/>
        </w:rPr>
        <w:t xml:space="preserve"> del total.</w:t>
      </w:r>
    </w:p>
    <w:p w14:paraId="59DDB627" w14:textId="77777777" w:rsidR="00574B14" w:rsidRDefault="00AD16C1">
      <w:pPr>
        <w:spacing w:before="120" w:after="120" w:line="300" w:lineRule="auto"/>
        <w:jc w:val="both"/>
        <w:rPr>
          <w:rFonts w:ascii="Arial" w:eastAsia="Arial" w:hAnsi="Arial" w:cs="Arial"/>
        </w:rPr>
      </w:pPr>
      <w:r>
        <w:rPr>
          <w:rFonts w:ascii="Arial" w:eastAsia="Arial" w:hAnsi="Arial" w:cs="Arial"/>
        </w:rPr>
        <w:lastRenderedPageBreak/>
        <w:t xml:space="preserve">Estos datos muestran que el impacto directo que tienen las medidas de Trump es reducido ya que la Argentina destina apenas 1 de cada 10 dólares de sus exportaciones a Estados Unidos. Sin embargo, los efectos indirectos, no solo por las decisiones que tome Estados Unidos sino también las posibles represalias que adopten los otros países, pueden ser muy dañinos. La principal conclusión es que </w:t>
      </w:r>
      <w:r w:rsidRPr="00CD18B8">
        <w:rPr>
          <w:rFonts w:ascii="Arial" w:eastAsia="Arial" w:hAnsi="Arial" w:cs="Arial"/>
          <w:b/>
        </w:rPr>
        <w:t>el contexto internacional que enfrentará la Argentina es extremadamente complejo e incierto, haciendo muy difícil formular predicciones</w:t>
      </w:r>
      <w:r>
        <w:rPr>
          <w:rFonts w:ascii="Arial" w:eastAsia="Arial" w:hAnsi="Arial" w:cs="Arial"/>
        </w:rPr>
        <w:t xml:space="preserve">. </w:t>
      </w:r>
    </w:p>
    <w:p w14:paraId="29A1E1C4" w14:textId="77777777" w:rsidR="00574B14" w:rsidRDefault="00AD16C1">
      <w:pPr>
        <w:spacing w:before="120" w:after="120" w:line="300" w:lineRule="auto"/>
        <w:jc w:val="both"/>
        <w:rPr>
          <w:rFonts w:ascii="Arial" w:eastAsia="Arial" w:hAnsi="Arial" w:cs="Arial"/>
        </w:rPr>
      </w:pPr>
      <w:r>
        <w:rPr>
          <w:rFonts w:ascii="Arial" w:eastAsia="Arial" w:hAnsi="Arial" w:cs="Arial"/>
        </w:rPr>
        <w:t xml:space="preserve">La teoría económica sostiene que, si bien los </w:t>
      </w:r>
      <w:r w:rsidRPr="00CD18B8">
        <w:rPr>
          <w:rFonts w:ascii="Arial" w:eastAsia="Arial" w:hAnsi="Arial" w:cs="Arial"/>
          <w:b/>
        </w:rPr>
        <w:t>daños serán generales para todos los países, el que más sufrirá será Estados Unidos</w:t>
      </w:r>
      <w:r>
        <w:rPr>
          <w:rFonts w:ascii="Arial" w:eastAsia="Arial" w:hAnsi="Arial" w:cs="Arial"/>
        </w:rPr>
        <w:t>. Las empresas afrontarán aumentos de costos por el encarecimiento de los insumos importados y los consumidores mayores precios debido a que los bienes, tanto nacionales como los importados, serán más caros. Puede que el cierre de la economía genere más empleo en determinados sectores, pero será a costa de perder eficiencia. Además, si la Reserva Federal opta por combatir el aumento de la inflación con incrementos en la tasa de interés prevalecerá el efecto recesivo. Por todo esto no hay que descartar que en un futuro próximo Estados Unidos rectifique la estrategia proteccionista.</w:t>
      </w:r>
    </w:p>
    <w:p w14:paraId="425EEFC0" w14:textId="7735D61A" w:rsidR="00574B14" w:rsidRDefault="00AD16C1">
      <w:pPr>
        <w:spacing w:before="120" w:after="120" w:line="300" w:lineRule="auto"/>
        <w:jc w:val="both"/>
        <w:rPr>
          <w:rFonts w:ascii="Arial" w:eastAsia="Arial" w:hAnsi="Arial" w:cs="Arial"/>
        </w:rPr>
      </w:pPr>
      <w:r>
        <w:rPr>
          <w:rFonts w:ascii="Arial" w:eastAsia="Arial" w:hAnsi="Arial" w:cs="Arial"/>
        </w:rPr>
        <w:t xml:space="preserve">De todas maneras, </w:t>
      </w:r>
      <w:r w:rsidRPr="00CD18B8">
        <w:rPr>
          <w:rFonts w:ascii="Arial" w:eastAsia="Arial" w:hAnsi="Arial" w:cs="Arial"/>
          <w:b/>
        </w:rPr>
        <w:t>el peor error que Argentina puede cometer es emular las políticas de Trump</w:t>
      </w:r>
      <w:r>
        <w:rPr>
          <w:rFonts w:ascii="Arial" w:eastAsia="Arial" w:hAnsi="Arial" w:cs="Arial"/>
        </w:rPr>
        <w:t xml:space="preserve">. Seguramente que ante la evidencia de que el mundo marcha hacia el proteccionismo, se exacerbarán las presiones para que la Argentina acentúe su aislamiento. Hay que tener en cuenta que, excluyendo al Mercosur, la Argentina ya aplica aranceles a la importación variables que, en promedio, oscilan en alrededor del 14% (más elevado que el arancel general de Trump) y que llegan al 35% en algunos productos. A eso hay que sumar un cúmulo de barreras </w:t>
      </w:r>
      <w:r w:rsidR="00AD2318">
        <w:rPr>
          <w:rFonts w:ascii="Arial" w:eastAsia="Arial" w:hAnsi="Arial" w:cs="Arial"/>
        </w:rPr>
        <w:t>para</w:t>
      </w:r>
      <w:r>
        <w:rPr>
          <w:rFonts w:ascii="Arial" w:eastAsia="Arial" w:hAnsi="Arial" w:cs="Arial"/>
        </w:rPr>
        <w:t>arancelarias. En este contexto, reforzar el proteccionismo, lejos de contribuir a aumentar el empleo y la producción, va a robustecer el estancamiento económico que Argentina arrastra desde el año 2012.</w:t>
      </w:r>
    </w:p>
    <w:p w14:paraId="4F206088" w14:textId="029ACBD3" w:rsidR="00574B14" w:rsidRDefault="004E3976">
      <w:pPr>
        <w:spacing w:before="120" w:after="120" w:line="300" w:lineRule="auto"/>
        <w:jc w:val="both"/>
        <w:rPr>
          <w:rFonts w:ascii="Arial" w:eastAsia="Arial" w:hAnsi="Arial" w:cs="Arial"/>
        </w:rPr>
      </w:pPr>
      <w:r>
        <w:rPr>
          <w:rFonts w:ascii="Arial" w:eastAsia="Arial" w:hAnsi="Arial" w:cs="Arial"/>
        </w:rPr>
        <w:t xml:space="preserve">Por el contrario, </w:t>
      </w:r>
      <w:r w:rsidRPr="00CD18B8">
        <w:rPr>
          <w:rFonts w:ascii="Arial" w:eastAsia="Arial" w:hAnsi="Arial" w:cs="Arial"/>
          <w:b/>
        </w:rPr>
        <w:t>e</w:t>
      </w:r>
      <w:r w:rsidR="00AD16C1" w:rsidRPr="00CD18B8">
        <w:rPr>
          <w:rFonts w:ascii="Arial" w:eastAsia="Arial" w:hAnsi="Arial" w:cs="Arial"/>
          <w:b/>
        </w:rPr>
        <w:t xml:space="preserve">l desafiante escenario internacional </w:t>
      </w:r>
      <w:r w:rsidRPr="00CD18B8">
        <w:rPr>
          <w:rFonts w:ascii="Arial" w:eastAsia="Arial" w:hAnsi="Arial" w:cs="Arial"/>
          <w:b/>
        </w:rPr>
        <w:t xml:space="preserve">demanda </w:t>
      </w:r>
      <w:r w:rsidR="00AD16C1" w:rsidRPr="00CD18B8">
        <w:rPr>
          <w:rFonts w:ascii="Arial" w:eastAsia="Arial" w:hAnsi="Arial" w:cs="Arial"/>
          <w:b/>
        </w:rPr>
        <w:t>acelerar las reformas estructurales en búsqueda de mayor competitividad</w:t>
      </w:r>
      <w:r w:rsidR="00AD16C1">
        <w:rPr>
          <w:rFonts w:ascii="Arial" w:eastAsia="Arial" w:hAnsi="Arial" w:cs="Arial"/>
        </w:rPr>
        <w:t xml:space="preserve">. Una de ellas, incluida como punto 10 en la Agenda de Mayo, es la integración al mundo. En este sentido, </w:t>
      </w:r>
      <w:r w:rsidR="00AD16C1" w:rsidRPr="00CD18B8">
        <w:rPr>
          <w:rFonts w:ascii="Arial" w:eastAsia="Arial" w:hAnsi="Arial" w:cs="Arial"/>
          <w:b/>
        </w:rPr>
        <w:t xml:space="preserve">nunca como en </w:t>
      </w:r>
      <w:sdt>
        <w:sdtPr>
          <w:rPr>
            <w:b/>
          </w:rPr>
          <w:tag w:val="goog_rdk_7"/>
          <w:id w:val="795796569"/>
        </w:sdtPr>
        <w:sdtEndPr/>
        <w:sdtContent>
          <w:r w:rsidR="00AD16C1" w:rsidRPr="00CD18B8">
            <w:rPr>
              <w:rFonts w:ascii="Arial" w:eastAsia="Arial" w:hAnsi="Arial" w:cs="Arial"/>
              <w:b/>
            </w:rPr>
            <w:t xml:space="preserve">el </w:t>
          </w:r>
        </w:sdtContent>
      </w:sdt>
      <w:r w:rsidR="00AD16C1" w:rsidRPr="00CD18B8">
        <w:rPr>
          <w:rFonts w:ascii="Arial" w:eastAsia="Arial" w:hAnsi="Arial" w:cs="Arial"/>
          <w:b/>
        </w:rPr>
        <w:t>presente se dieron las condiciones para suscribir el postergado acuerdo de libre comercio entre el Mercosur y la Unión Europea</w:t>
      </w:r>
      <w:r w:rsidR="00AD16C1">
        <w:rPr>
          <w:rFonts w:ascii="Arial" w:eastAsia="Arial" w:hAnsi="Arial" w:cs="Arial"/>
        </w:rPr>
        <w:t>. Esto tendría enormes beneficios económicos y sería una acción consistente con salvaguarda</w:t>
      </w:r>
      <w:r w:rsidR="00AD2318">
        <w:rPr>
          <w:rFonts w:ascii="Arial" w:eastAsia="Arial" w:hAnsi="Arial" w:cs="Arial"/>
        </w:rPr>
        <w:t>r</w:t>
      </w:r>
      <w:r w:rsidR="00AD16C1">
        <w:rPr>
          <w:rFonts w:ascii="Arial" w:eastAsia="Arial" w:hAnsi="Arial" w:cs="Arial"/>
        </w:rPr>
        <w:t xml:space="preserve"> </w:t>
      </w:r>
      <w:r w:rsidR="00AD2318">
        <w:rPr>
          <w:rFonts w:ascii="Arial" w:eastAsia="Arial" w:hAnsi="Arial" w:cs="Arial"/>
        </w:rPr>
        <w:t xml:space="preserve">los </w:t>
      </w:r>
      <w:r w:rsidR="00AD16C1">
        <w:rPr>
          <w:rFonts w:ascii="Arial" w:eastAsia="Arial" w:hAnsi="Arial" w:cs="Arial"/>
        </w:rPr>
        <w:t xml:space="preserve">valores democráticos y políticamente liberales que se están poniendo en juego en la geopolítica internacional.     </w:t>
      </w:r>
    </w:p>
    <w:p w14:paraId="28241BB2" w14:textId="77777777" w:rsidR="00574B14" w:rsidRDefault="00AD16C1">
      <w:pPr>
        <w:jc w:val="center"/>
        <w:rPr>
          <w:rFonts w:ascii="Arial" w:eastAsia="Arial" w:hAnsi="Arial" w:cs="Arial"/>
          <w:b/>
        </w:rPr>
      </w:pPr>
      <w:r>
        <w:rPr>
          <w:rFonts w:ascii="Arial" w:eastAsia="Arial" w:hAnsi="Arial" w:cs="Arial"/>
          <w:b/>
        </w:rPr>
        <w:t>Destino de las exportaciones argentinas</w:t>
      </w:r>
    </w:p>
    <w:p w14:paraId="0C4750C9" w14:textId="77777777" w:rsidR="00574B14" w:rsidRDefault="00AD16C1">
      <w:pPr>
        <w:jc w:val="center"/>
        <w:rPr>
          <w:rFonts w:ascii="Arial" w:eastAsia="Arial" w:hAnsi="Arial" w:cs="Arial"/>
          <w:sz w:val="20"/>
          <w:szCs w:val="20"/>
        </w:rPr>
      </w:pPr>
      <w:r>
        <w:rPr>
          <w:rFonts w:ascii="Arial" w:eastAsia="Arial" w:hAnsi="Arial" w:cs="Arial"/>
          <w:sz w:val="20"/>
          <w:szCs w:val="20"/>
        </w:rPr>
        <w:t>2024</w:t>
      </w:r>
    </w:p>
    <w:p w14:paraId="26F2EFAF" w14:textId="77777777" w:rsidR="00574B14" w:rsidRDefault="00AD16C1">
      <w:pPr>
        <w:jc w:val="center"/>
        <w:rPr>
          <w:rFonts w:ascii="Arial" w:eastAsia="Arial" w:hAnsi="Arial" w:cs="Arial"/>
          <w:sz w:val="20"/>
          <w:szCs w:val="20"/>
        </w:rPr>
      </w:pPr>
      <w:r>
        <w:rPr>
          <w:rFonts w:ascii="Arial" w:eastAsia="Arial" w:hAnsi="Arial" w:cs="Arial"/>
          <w:noProof/>
          <w:sz w:val="20"/>
          <w:szCs w:val="20"/>
          <w:lang w:val="en-US"/>
        </w:rPr>
        <w:drawing>
          <wp:anchor distT="0" distB="0" distL="114300" distR="114300" simplePos="0" relativeHeight="251660288" behindDoc="0" locked="0" layoutInCell="1" hidden="0" allowOverlap="1" wp14:anchorId="4FD171D5" wp14:editId="3108D54B">
            <wp:simplePos x="0" y="0"/>
            <wp:positionH relativeFrom="margin">
              <wp:posOffset>1470660</wp:posOffset>
            </wp:positionH>
            <wp:positionV relativeFrom="page">
              <wp:posOffset>7924800</wp:posOffset>
            </wp:positionV>
            <wp:extent cx="3276600" cy="2139950"/>
            <wp:effectExtent l="0" t="0" r="0" b="0"/>
            <wp:wrapSquare wrapText="bothSides" distT="0" distB="0" distL="114300" distR="114300"/>
            <wp:docPr id="184090676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3276600" cy="2139950"/>
                    </a:xfrm>
                    <a:prstGeom prst="rect">
                      <a:avLst/>
                    </a:prstGeom>
                    <a:ln/>
                  </pic:spPr>
                </pic:pic>
              </a:graphicData>
            </a:graphic>
          </wp:anchor>
        </w:drawing>
      </w:r>
    </w:p>
    <w:p w14:paraId="50E1DD0C" w14:textId="5CE3932A" w:rsidR="00574B14" w:rsidRDefault="00CD18B8">
      <w:pPr>
        <w:jc w:val="center"/>
        <w:rPr>
          <w:rFonts w:ascii="Arial" w:eastAsia="Arial" w:hAnsi="Arial" w:cs="Arial"/>
          <w:sz w:val="20"/>
          <w:szCs w:val="20"/>
        </w:rPr>
      </w:pPr>
      <w:r>
        <w:rPr>
          <w:noProof/>
          <w:lang w:val="en-US"/>
        </w:rPr>
        <w:drawing>
          <wp:anchor distT="0" distB="0" distL="114300" distR="114300" simplePos="0" relativeHeight="251662336" behindDoc="0" locked="0" layoutInCell="1" hidden="0" allowOverlap="1" wp14:anchorId="1AF5EF03" wp14:editId="5C4E8F6C">
            <wp:simplePos x="0" y="0"/>
            <wp:positionH relativeFrom="column">
              <wp:posOffset>4404360</wp:posOffset>
            </wp:positionH>
            <wp:positionV relativeFrom="paragraph">
              <wp:posOffset>1311910</wp:posOffset>
            </wp:positionV>
            <wp:extent cx="1171575" cy="470535"/>
            <wp:effectExtent l="0" t="0" r="0" b="0"/>
            <wp:wrapSquare wrapText="bothSides" distT="0" distB="0" distL="114300" distR="114300"/>
            <wp:docPr id="184090676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1171575" cy="470535"/>
                    </a:xfrm>
                    <a:prstGeom prst="rect">
                      <a:avLst/>
                    </a:prstGeom>
                    <a:ln/>
                  </pic:spPr>
                </pic:pic>
              </a:graphicData>
            </a:graphic>
          </wp:anchor>
        </w:drawing>
      </w:r>
      <w:r w:rsidR="00AD16C1">
        <w:rPr>
          <w:noProof/>
          <w:lang w:val="en-US"/>
        </w:rPr>
        <w:drawing>
          <wp:anchor distT="0" distB="0" distL="114300" distR="114300" simplePos="0" relativeHeight="251661312" behindDoc="0" locked="0" layoutInCell="1" hidden="0" allowOverlap="1" wp14:anchorId="3AEB5AB7" wp14:editId="0C900D9F">
            <wp:simplePos x="0" y="0"/>
            <wp:positionH relativeFrom="margin">
              <wp:posOffset>478155</wp:posOffset>
            </wp:positionH>
            <wp:positionV relativeFrom="margin">
              <wp:posOffset>8500110</wp:posOffset>
            </wp:positionV>
            <wp:extent cx="1292860" cy="591185"/>
            <wp:effectExtent l="0" t="0" r="0" b="0"/>
            <wp:wrapSquare wrapText="bothSides" distT="0" distB="0" distL="114300" distR="114300"/>
            <wp:docPr id="184090676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2"/>
                    <a:srcRect/>
                    <a:stretch>
                      <a:fillRect/>
                    </a:stretch>
                  </pic:blipFill>
                  <pic:spPr>
                    <a:xfrm>
                      <a:off x="0" y="0"/>
                      <a:ext cx="1292860" cy="591185"/>
                    </a:xfrm>
                    <a:prstGeom prst="rect">
                      <a:avLst/>
                    </a:prstGeom>
                    <a:ln/>
                  </pic:spPr>
                </pic:pic>
              </a:graphicData>
            </a:graphic>
          </wp:anchor>
        </w:drawing>
      </w:r>
    </w:p>
    <w:sectPr w:rsidR="00574B14">
      <w:footerReference w:type="default" r:id="rId13"/>
      <w:pgSz w:w="11906" w:h="16838"/>
      <w:pgMar w:top="1134" w:right="851"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D9ED8C" w14:textId="77777777" w:rsidR="00DE6B74" w:rsidRDefault="00DE6B74">
      <w:r>
        <w:separator/>
      </w:r>
    </w:p>
  </w:endnote>
  <w:endnote w:type="continuationSeparator" w:id="0">
    <w:p w14:paraId="0DC9A903" w14:textId="77777777" w:rsidR="00DE6B74" w:rsidRDefault="00DE6B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7E633" w14:textId="77777777" w:rsidR="00574B14" w:rsidRDefault="00574B14">
    <w:pPr>
      <w:pBdr>
        <w:top w:val="nil"/>
        <w:left w:val="nil"/>
        <w:bottom w:val="nil"/>
        <w:right w:val="nil"/>
        <w:between w:val="nil"/>
      </w:pBdr>
      <w:jc w:val="center"/>
      <w:rPr>
        <w:rFonts w:ascii="Arial Black" w:eastAsia="Arial Black" w:hAnsi="Arial Black" w:cs="Arial Black"/>
        <w:color w:val="000000"/>
        <w:sz w:val="20"/>
        <w:szCs w:val="20"/>
      </w:rPr>
    </w:pPr>
  </w:p>
  <w:p w14:paraId="0A26F418" w14:textId="77777777" w:rsidR="00574B14" w:rsidRDefault="00AD16C1">
    <w:pPr>
      <w:pBdr>
        <w:top w:val="nil"/>
        <w:left w:val="nil"/>
        <w:bottom w:val="nil"/>
        <w:right w:val="nil"/>
        <w:between w:val="nil"/>
      </w:pBdr>
      <w:jc w:val="center"/>
      <w:rPr>
        <w:color w:val="000000"/>
      </w:rPr>
    </w:pPr>
    <w:r>
      <w:rPr>
        <w:rFonts w:ascii="Arial Black" w:eastAsia="Arial Black" w:hAnsi="Arial Black" w:cs="Arial Black"/>
        <w:color w:val="000000"/>
        <w:sz w:val="20"/>
        <w:szCs w:val="20"/>
      </w:rPr>
      <w:t xml:space="preserve">info@idesa.org - </w:t>
    </w:r>
    <w:hyperlink r:id="rId1">
      <w:r>
        <w:rPr>
          <w:rFonts w:ascii="Arial Black" w:eastAsia="Arial Black" w:hAnsi="Arial Black" w:cs="Arial Black"/>
          <w:color w:val="0000FF"/>
          <w:sz w:val="20"/>
          <w:szCs w:val="20"/>
          <w:u w:val="single"/>
        </w:rPr>
        <w:t>www.idesa.org</w:t>
      </w:r>
    </w:hyperlink>
    <w:r>
      <w:rPr>
        <w:rFonts w:ascii="Arial Black" w:eastAsia="Arial Black" w:hAnsi="Arial Black" w:cs="Arial Black"/>
        <w:color w:val="000000"/>
        <w:sz w:val="20"/>
        <w:szCs w:val="20"/>
      </w:rPr>
      <w:t xml:space="preserve"> – </w:t>
    </w:r>
    <w:r>
      <w:rPr>
        <w:rFonts w:ascii="Arial" w:eastAsia="Arial" w:hAnsi="Arial" w:cs="Arial"/>
        <w:color w:val="000000"/>
        <w:sz w:val="20"/>
        <w:szCs w:val="20"/>
      </w:rPr>
      <w:t xml:space="preserve">Tel. (54) - 11 - 4374 7660 </w:t>
    </w:r>
    <w:r>
      <w:rPr>
        <w:rFonts w:ascii="Arial" w:eastAsia="Arial" w:hAnsi="Arial" w:cs="Arial"/>
        <w:b/>
        <w:color w:val="000000"/>
        <w:sz w:val="28"/>
        <w:szCs w:val="28"/>
      </w:rPr>
      <w:t>/</w:t>
    </w:r>
    <w:r>
      <w:rPr>
        <w:rFonts w:ascii="Arial" w:eastAsia="Arial" w:hAnsi="Arial" w:cs="Arial"/>
        <w:color w:val="000000"/>
        <w:sz w:val="20"/>
        <w:szCs w:val="20"/>
      </w:rPr>
      <w:t xml:space="preserve"> (54) - 351 - 427 1271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8FCCBF" w14:textId="77777777" w:rsidR="00DE6B74" w:rsidRDefault="00DE6B74">
      <w:r>
        <w:separator/>
      </w:r>
    </w:p>
  </w:footnote>
  <w:footnote w:type="continuationSeparator" w:id="0">
    <w:p w14:paraId="20A051C9" w14:textId="77777777" w:rsidR="00DE6B74" w:rsidRDefault="00DE6B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6C2A02"/>
    <w:multiLevelType w:val="multilevel"/>
    <w:tmpl w:val="7AB02C7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4B14"/>
    <w:rsid w:val="00046519"/>
    <w:rsid w:val="000D47FC"/>
    <w:rsid w:val="00200C76"/>
    <w:rsid w:val="004E3976"/>
    <w:rsid w:val="0053684C"/>
    <w:rsid w:val="00574B14"/>
    <w:rsid w:val="00594692"/>
    <w:rsid w:val="00A61F6B"/>
    <w:rsid w:val="00AD16C1"/>
    <w:rsid w:val="00AD2318"/>
    <w:rsid w:val="00CD18B8"/>
    <w:rsid w:val="00DE6B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54B40"/>
  <w15:docId w15:val="{FCBDF8BD-2457-4BCE-A10F-33E2A076B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s-A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deglobo">
    <w:name w:val="Balloon Text"/>
    <w:basedOn w:val="Normal"/>
    <w:link w:val="TextodegloboCar"/>
    <w:uiPriority w:val="99"/>
    <w:semiHidden/>
    <w:unhideWhenUsed/>
    <w:rsid w:val="00AE3358"/>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E3358"/>
    <w:rPr>
      <w:rFonts w:ascii="Segoe UI" w:hAnsi="Segoe UI" w:cs="Segoe UI"/>
      <w:sz w:val="18"/>
      <w:szCs w:val="18"/>
    </w:rPr>
  </w:style>
  <w:style w:type="paragraph" w:styleId="Revisin">
    <w:name w:val="Revision"/>
    <w:hidden/>
    <w:uiPriority w:val="99"/>
    <w:semiHidden/>
    <w:rsid w:val="000E4F43"/>
  </w:style>
  <w:style w:type="character" w:styleId="Refdecomentario">
    <w:name w:val="annotation reference"/>
    <w:basedOn w:val="Fuentedeprrafopredeter"/>
    <w:uiPriority w:val="99"/>
    <w:semiHidden/>
    <w:unhideWhenUsed/>
    <w:rsid w:val="00ED2E38"/>
    <w:rPr>
      <w:sz w:val="16"/>
      <w:szCs w:val="16"/>
    </w:rPr>
  </w:style>
  <w:style w:type="paragraph" w:styleId="Textocomentario">
    <w:name w:val="annotation text"/>
    <w:basedOn w:val="Normal"/>
    <w:link w:val="TextocomentarioCar"/>
    <w:uiPriority w:val="99"/>
    <w:semiHidden/>
    <w:unhideWhenUsed/>
    <w:rsid w:val="00ED2E38"/>
    <w:rPr>
      <w:sz w:val="20"/>
      <w:szCs w:val="20"/>
    </w:rPr>
  </w:style>
  <w:style w:type="character" w:customStyle="1" w:styleId="TextocomentarioCar">
    <w:name w:val="Texto comentario Car"/>
    <w:basedOn w:val="Fuentedeprrafopredeter"/>
    <w:link w:val="Textocomentario"/>
    <w:uiPriority w:val="99"/>
    <w:semiHidden/>
    <w:rsid w:val="00ED2E38"/>
    <w:rPr>
      <w:sz w:val="20"/>
      <w:szCs w:val="20"/>
    </w:rPr>
  </w:style>
  <w:style w:type="paragraph" w:styleId="Asuntodelcomentario">
    <w:name w:val="annotation subject"/>
    <w:basedOn w:val="Textocomentario"/>
    <w:next w:val="Textocomentario"/>
    <w:link w:val="AsuntodelcomentarioCar"/>
    <w:uiPriority w:val="99"/>
    <w:semiHidden/>
    <w:unhideWhenUsed/>
    <w:rsid w:val="00ED2E38"/>
    <w:rPr>
      <w:b/>
      <w:bCs/>
    </w:rPr>
  </w:style>
  <w:style w:type="character" w:customStyle="1" w:styleId="AsuntodelcomentarioCar">
    <w:name w:val="Asunto del comentario Car"/>
    <w:basedOn w:val="TextocomentarioCar"/>
    <w:link w:val="Asuntodelcomentario"/>
    <w:uiPriority w:val="99"/>
    <w:semiHidden/>
    <w:rsid w:val="00ED2E38"/>
    <w:rPr>
      <w:b/>
      <w:bCs/>
      <w:sz w:val="20"/>
      <w:szCs w:val="20"/>
    </w:rPr>
  </w:style>
  <w:style w:type="paragraph" w:styleId="Lista2">
    <w:name w:val="List 2"/>
    <w:basedOn w:val="Normal"/>
    <w:uiPriority w:val="99"/>
    <w:unhideWhenUsed/>
    <w:rsid w:val="00B90C39"/>
    <w:pPr>
      <w:ind w:left="566" w:hanging="283"/>
      <w:contextualSpacing/>
    </w:pPr>
  </w:style>
  <w:style w:type="paragraph" w:styleId="Saludo">
    <w:name w:val="Salutation"/>
    <w:basedOn w:val="Normal"/>
    <w:next w:val="Normal"/>
    <w:link w:val="SaludoCar"/>
    <w:uiPriority w:val="99"/>
    <w:unhideWhenUsed/>
    <w:rsid w:val="00B90C39"/>
  </w:style>
  <w:style w:type="character" w:customStyle="1" w:styleId="SaludoCar">
    <w:name w:val="Saludo Car"/>
    <w:basedOn w:val="Fuentedeprrafopredeter"/>
    <w:link w:val="Saludo"/>
    <w:uiPriority w:val="99"/>
    <w:rsid w:val="00B90C39"/>
  </w:style>
  <w:style w:type="paragraph" w:styleId="Fecha">
    <w:name w:val="Date"/>
    <w:basedOn w:val="Normal"/>
    <w:next w:val="Normal"/>
    <w:link w:val="FechaCar"/>
    <w:uiPriority w:val="99"/>
    <w:unhideWhenUsed/>
    <w:rsid w:val="00B90C39"/>
  </w:style>
  <w:style w:type="character" w:customStyle="1" w:styleId="FechaCar">
    <w:name w:val="Fecha Car"/>
    <w:basedOn w:val="Fuentedeprrafopredeter"/>
    <w:link w:val="Fecha"/>
    <w:uiPriority w:val="99"/>
    <w:rsid w:val="00B90C39"/>
  </w:style>
  <w:style w:type="paragraph" w:styleId="Textoindependiente">
    <w:name w:val="Body Text"/>
    <w:basedOn w:val="Normal"/>
    <w:link w:val="TextoindependienteCar"/>
    <w:uiPriority w:val="99"/>
    <w:unhideWhenUsed/>
    <w:rsid w:val="00B90C39"/>
    <w:pPr>
      <w:spacing w:after="120"/>
    </w:pPr>
  </w:style>
  <w:style w:type="character" w:customStyle="1" w:styleId="TextoindependienteCar">
    <w:name w:val="Texto independiente Car"/>
    <w:basedOn w:val="Fuentedeprrafopredeter"/>
    <w:link w:val="Textoindependiente"/>
    <w:uiPriority w:val="99"/>
    <w:rsid w:val="00B90C39"/>
  </w:style>
  <w:style w:type="paragraph" w:styleId="Encabezado">
    <w:name w:val="header"/>
    <w:basedOn w:val="Normal"/>
    <w:link w:val="EncabezadoCar"/>
    <w:uiPriority w:val="99"/>
    <w:unhideWhenUsed/>
    <w:rsid w:val="00E97290"/>
    <w:pPr>
      <w:tabs>
        <w:tab w:val="center" w:pos="4419"/>
        <w:tab w:val="right" w:pos="8838"/>
      </w:tabs>
    </w:pPr>
  </w:style>
  <w:style w:type="character" w:customStyle="1" w:styleId="EncabezadoCar">
    <w:name w:val="Encabezado Car"/>
    <w:basedOn w:val="Fuentedeprrafopredeter"/>
    <w:link w:val="Encabezado"/>
    <w:uiPriority w:val="99"/>
    <w:rsid w:val="00E97290"/>
  </w:style>
  <w:style w:type="paragraph" w:styleId="Piedepgina">
    <w:name w:val="footer"/>
    <w:basedOn w:val="Normal"/>
    <w:link w:val="PiedepginaCar"/>
    <w:uiPriority w:val="99"/>
    <w:unhideWhenUsed/>
    <w:rsid w:val="00E97290"/>
    <w:pPr>
      <w:tabs>
        <w:tab w:val="center" w:pos="4419"/>
        <w:tab w:val="right" w:pos="8838"/>
      </w:tabs>
    </w:pPr>
  </w:style>
  <w:style w:type="character" w:customStyle="1" w:styleId="PiedepginaCar">
    <w:name w:val="Pie de página Car"/>
    <w:basedOn w:val="Fuentedeprrafopredeter"/>
    <w:link w:val="Piedepgina"/>
    <w:uiPriority w:val="99"/>
    <w:rsid w:val="00E972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ide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lys9K61hgRAXWT2fiAZ3BnClGA==">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690</Words>
  <Characters>3797</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Lautaro Oviedo</cp:lastModifiedBy>
  <cp:revision>7</cp:revision>
  <dcterms:created xsi:type="dcterms:W3CDTF">2025-04-06T15:57:00Z</dcterms:created>
  <dcterms:modified xsi:type="dcterms:W3CDTF">2025-04-06T17:14:00Z</dcterms:modified>
</cp:coreProperties>
</file>