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0C0CE5" w14:textId="77777777" w:rsidR="009B6795" w:rsidRDefault="00F36A7B">
      <w:pPr>
        <w:pBdr>
          <w:top w:val="nil"/>
          <w:left w:val="nil"/>
          <w:bottom w:val="nil"/>
          <w:right w:val="nil"/>
          <w:between w:val="nil"/>
        </w:pBdr>
        <w:rPr>
          <w:rFonts w:ascii="Cambria" w:eastAsia="Cambria" w:hAnsi="Cambria" w:cs="Cambria"/>
          <w:color w:val="4F81BD"/>
        </w:rPr>
      </w:pPr>
      <w:r>
        <w:rPr>
          <w:rFonts w:ascii="Cambria" w:eastAsia="Cambria" w:hAnsi="Cambria" w:cs="Cambria"/>
          <w:color w:val="4F81BD"/>
        </w:rPr>
        <w:t xml:space="preserve"> </w:t>
      </w:r>
    </w:p>
    <w:p w14:paraId="40577559" w14:textId="77777777" w:rsidR="009B6795" w:rsidRDefault="009B6795">
      <w:pPr>
        <w:pBdr>
          <w:top w:val="nil"/>
          <w:left w:val="nil"/>
          <w:bottom w:val="nil"/>
          <w:right w:val="nil"/>
          <w:between w:val="nil"/>
        </w:pBdr>
        <w:rPr>
          <w:rFonts w:ascii="Cambria" w:eastAsia="Cambria" w:hAnsi="Cambria" w:cs="Cambria"/>
          <w:color w:val="4F81BD"/>
        </w:rPr>
      </w:pPr>
    </w:p>
    <w:p w14:paraId="763DAE19" w14:textId="77777777" w:rsidR="009B6795" w:rsidRDefault="009B6795">
      <w:pPr>
        <w:pBdr>
          <w:top w:val="nil"/>
          <w:left w:val="nil"/>
          <w:bottom w:val="nil"/>
          <w:right w:val="nil"/>
          <w:between w:val="nil"/>
        </w:pBdr>
        <w:rPr>
          <w:rFonts w:ascii="Cambria" w:eastAsia="Cambria" w:hAnsi="Cambria" w:cs="Cambria"/>
          <w:color w:val="4F81BD"/>
        </w:rPr>
      </w:pPr>
    </w:p>
    <w:p w14:paraId="374CDBF6" w14:textId="77777777" w:rsidR="009B6795" w:rsidRDefault="00F36A7B">
      <w:pPr>
        <w:pBdr>
          <w:top w:val="nil"/>
          <w:left w:val="nil"/>
          <w:bottom w:val="nil"/>
          <w:right w:val="nil"/>
          <w:between w:val="nil"/>
        </w:pBdr>
        <w:spacing w:before="60" w:line="300" w:lineRule="auto"/>
        <w:jc w:val="right"/>
        <w:rPr>
          <w:rFonts w:ascii="Arial" w:eastAsia="Arial" w:hAnsi="Arial" w:cs="Arial"/>
          <w:color w:val="000000"/>
        </w:rPr>
      </w:pPr>
      <w:r>
        <w:rPr>
          <w:noProof/>
          <w:lang w:val="es-ES"/>
        </w:rPr>
        <w:drawing>
          <wp:anchor distT="0" distB="0" distL="114935" distR="114935" simplePos="0" relativeHeight="251658240" behindDoc="0" locked="0" layoutInCell="1" hidden="0" allowOverlap="1" wp14:anchorId="46F7C539" wp14:editId="56C79FEC">
            <wp:simplePos x="0" y="0"/>
            <wp:positionH relativeFrom="column">
              <wp:posOffset>4556760</wp:posOffset>
            </wp:positionH>
            <wp:positionV relativeFrom="paragraph">
              <wp:posOffset>153670</wp:posOffset>
            </wp:positionV>
            <wp:extent cx="1189990" cy="1189990"/>
            <wp:effectExtent l="0" t="0" r="0" b="0"/>
            <wp:wrapSquare wrapText="bothSides" distT="0" distB="0" distL="114935" distR="114935"/>
            <wp:docPr id="1840906769" name="image1.png"/>
            <wp:cNvGraphicFramePr/>
            <a:graphic xmlns:a="http://schemas.openxmlformats.org/drawingml/2006/main">
              <a:graphicData uri="http://schemas.openxmlformats.org/drawingml/2006/picture">
                <pic:pic xmlns:pic="http://schemas.openxmlformats.org/drawingml/2006/picture">
                  <pic:nvPicPr>
                    <pic:cNvPr id="1840906769" name="image1.png"/>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1189990" cy="1189990"/>
                    </a:xfrm>
                    <a:prstGeom prst="rect">
                      <a:avLst/>
                    </a:prstGeom>
                    <a:ln/>
                  </pic:spPr>
                </pic:pic>
              </a:graphicData>
            </a:graphic>
            <wp14:sizeRelH relativeFrom="margin">
              <wp14:pctWidth>0</wp14:pctWidth>
            </wp14:sizeRelH>
          </wp:anchor>
        </w:drawing>
      </w:r>
    </w:p>
    <w:p w14:paraId="1A9F2EFB" w14:textId="77777777" w:rsidR="009B6795" w:rsidRDefault="00F36A7B">
      <w:pPr>
        <w:pBdr>
          <w:top w:val="nil"/>
          <w:left w:val="nil"/>
          <w:bottom w:val="nil"/>
          <w:right w:val="nil"/>
          <w:between w:val="nil"/>
        </w:pBdr>
        <w:spacing w:before="60" w:line="300" w:lineRule="auto"/>
        <w:jc w:val="right"/>
        <w:rPr>
          <w:rFonts w:ascii="Arial" w:eastAsia="Arial" w:hAnsi="Arial" w:cs="Arial"/>
          <w:color w:val="000000"/>
        </w:rPr>
      </w:pPr>
      <w:r>
        <w:rPr>
          <w:noProof/>
          <w:lang w:val="es-ES"/>
        </w:rPr>
        <w:drawing>
          <wp:anchor distT="0" distB="0" distL="0" distR="0" simplePos="0" relativeHeight="251659264" behindDoc="1" locked="0" layoutInCell="1" hidden="0" allowOverlap="1" wp14:anchorId="40E77471" wp14:editId="0A6AF297">
            <wp:simplePos x="0" y="0"/>
            <wp:positionH relativeFrom="column">
              <wp:posOffset>114300</wp:posOffset>
            </wp:positionH>
            <wp:positionV relativeFrom="paragraph">
              <wp:posOffset>-407659</wp:posOffset>
            </wp:positionV>
            <wp:extent cx="1942465" cy="1892300"/>
            <wp:effectExtent l="0" t="0" r="0" b="0"/>
            <wp:wrapNone/>
            <wp:docPr id="184090677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l="-21" t="-21" r="-21" b="-21"/>
                    <a:stretch>
                      <a:fillRect/>
                    </a:stretch>
                  </pic:blipFill>
                  <pic:spPr>
                    <a:xfrm>
                      <a:off x="0" y="0"/>
                      <a:ext cx="1942465" cy="1892300"/>
                    </a:xfrm>
                    <a:prstGeom prst="rect">
                      <a:avLst/>
                    </a:prstGeom>
                    <a:ln/>
                  </pic:spPr>
                </pic:pic>
              </a:graphicData>
            </a:graphic>
          </wp:anchor>
        </w:drawing>
      </w:r>
    </w:p>
    <w:p w14:paraId="67DA1904" w14:textId="77777777" w:rsidR="009B6795" w:rsidRDefault="009B6795">
      <w:pPr>
        <w:spacing w:before="60"/>
        <w:jc w:val="right"/>
        <w:rPr>
          <w:rFonts w:ascii="Arial" w:eastAsia="Arial" w:hAnsi="Arial" w:cs="Arial"/>
          <w:sz w:val="22"/>
          <w:szCs w:val="22"/>
        </w:rPr>
      </w:pPr>
    </w:p>
    <w:p w14:paraId="34FE9362" w14:textId="77777777" w:rsidR="009B6795" w:rsidRDefault="009B6795">
      <w:pPr>
        <w:spacing w:before="60"/>
        <w:jc w:val="right"/>
        <w:rPr>
          <w:rFonts w:ascii="Arial" w:eastAsia="Arial" w:hAnsi="Arial" w:cs="Arial"/>
          <w:sz w:val="22"/>
          <w:szCs w:val="22"/>
        </w:rPr>
      </w:pPr>
    </w:p>
    <w:p w14:paraId="2568E3C8" w14:textId="77777777" w:rsidR="009B6795" w:rsidRDefault="009B6795">
      <w:pPr>
        <w:spacing w:before="120" w:after="120"/>
        <w:jc w:val="right"/>
        <w:rPr>
          <w:rFonts w:ascii="Arial" w:eastAsia="Arial" w:hAnsi="Arial" w:cs="Arial"/>
          <w:sz w:val="22"/>
          <w:szCs w:val="22"/>
        </w:rPr>
      </w:pPr>
    </w:p>
    <w:p w14:paraId="43F72694" w14:textId="77777777" w:rsidR="009B6795" w:rsidRDefault="009B6795">
      <w:pPr>
        <w:tabs>
          <w:tab w:val="left" w:pos="8310"/>
        </w:tabs>
        <w:spacing w:before="120" w:after="120"/>
        <w:rPr>
          <w:rFonts w:ascii="Arial" w:eastAsia="Arial" w:hAnsi="Arial" w:cs="Arial"/>
        </w:rPr>
      </w:pPr>
    </w:p>
    <w:p w14:paraId="6E34D472" w14:textId="77777777" w:rsidR="00EB6029" w:rsidRDefault="00EB6029">
      <w:pPr>
        <w:spacing w:before="120" w:after="120"/>
        <w:jc w:val="right"/>
        <w:rPr>
          <w:rFonts w:ascii="Arial" w:eastAsia="Arial" w:hAnsi="Arial" w:cs="Arial"/>
          <w:sz w:val="22"/>
          <w:szCs w:val="22"/>
        </w:rPr>
      </w:pPr>
    </w:p>
    <w:p w14:paraId="7B8FDB12" w14:textId="7865A340" w:rsidR="009B6795" w:rsidRDefault="00F36A7B">
      <w:pPr>
        <w:spacing w:before="120" w:after="120"/>
        <w:jc w:val="right"/>
        <w:rPr>
          <w:rFonts w:ascii="Arial" w:eastAsia="Arial" w:hAnsi="Arial" w:cs="Arial"/>
          <w:sz w:val="22"/>
          <w:szCs w:val="22"/>
        </w:rPr>
      </w:pPr>
      <w:r>
        <w:rPr>
          <w:rFonts w:ascii="Arial" w:eastAsia="Arial" w:hAnsi="Arial" w:cs="Arial"/>
          <w:sz w:val="22"/>
          <w:szCs w:val="22"/>
        </w:rPr>
        <w:t>1 de Junio de 2025 – Número 1.124</w:t>
      </w:r>
    </w:p>
    <w:p w14:paraId="58D4438A" w14:textId="641B2792" w:rsidR="009B6795" w:rsidRDefault="00F36A7B">
      <w:pPr>
        <w:spacing w:before="120"/>
        <w:rPr>
          <w:rFonts w:ascii="Arial" w:eastAsia="Arial" w:hAnsi="Arial" w:cs="Arial"/>
          <w:b/>
          <w:sz w:val="52"/>
          <w:szCs w:val="52"/>
        </w:rPr>
      </w:pPr>
      <w:r>
        <w:rPr>
          <w:rFonts w:ascii="Arial" w:eastAsia="Arial" w:hAnsi="Arial" w:cs="Arial"/>
          <w:b/>
          <w:sz w:val="52"/>
          <w:szCs w:val="52"/>
        </w:rPr>
        <w:t>EL GARRAHAN DEBER</w:t>
      </w:r>
      <w:r w:rsidR="00BF2C94">
        <w:rPr>
          <w:rFonts w:ascii="Arial" w:eastAsia="Arial" w:hAnsi="Arial" w:cs="Arial"/>
          <w:b/>
          <w:sz w:val="52"/>
          <w:szCs w:val="52"/>
        </w:rPr>
        <w:t>Í</w:t>
      </w:r>
      <w:r>
        <w:rPr>
          <w:rFonts w:ascii="Arial" w:eastAsia="Arial" w:hAnsi="Arial" w:cs="Arial"/>
          <w:b/>
          <w:sz w:val="52"/>
          <w:szCs w:val="52"/>
        </w:rPr>
        <w:t>A DEJAR DE DEPENDER DEL ESTADO NACIONAL</w:t>
      </w:r>
    </w:p>
    <w:p w14:paraId="622FE4AA" w14:textId="39B287F1" w:rsidR="009B6795" w:rsidRDefault="00F36A7B">
      <w:pPr>
        <w:spacing w:before="120"/>
        <w:jc w:val="both"/>
        <w:rPr>
          <w:rFonts w:ascii="Garamond" w:eastAsia="Garamond" w:hAnsi="Garamond" w:cs="Garamond"/>
          <w:b/>
          <w:sz w:val="28"/>
          <w:szCs w:val="28"/>
        </w:rPr>
      </w:pPr>
      <w:r>
        <w:rPr>
          <w:rFonts w:ascii="Garamond" w:eastAsia="Garamond" w:hAnsi="Garamond" w:cs="Garamond"/>
          <w:b/>
          <w:sz w:val="28"/>
          <w:szCs w:val="28"/>
        </w:rPr>
        <w:t xml:space="preserve">El conflicto gremial en el hospital Garrahan es fuente de polémicas. No habrá solución definitiva mientras se mantenga su dependencia del gobierno nacional. Para preservar su excelencia es imprescindible </w:t>
      </w:r>
      <w:r w:rsidR="00AE7514">
        <w:rPr>
          <w:rFonts w:ascii="Garamond" w:eastAsia="Garamond" w:hAnsi="Garamond" w:cs="Garamond"/>
          <w:b/>
          <w:sz w:val="28"/>
          <w:szCs w:val="28"/>
        </w:rPr>
        <w:t>darles</w:t>
      </w:r>
      <w:r>
        <w:rPr>
          <w:rFonts w:ascii="Garamond" w:eastAsia="Garamond" w:hAnsi="Garamond" w:cs="Garamond"/>
          <w:b/>
          <w:sz w:val="28"/>
          <w:szCs w:val="28"/>
        </w:rPr>
        <w:t xml:space="preserve"> a los médicos la propiedad del hospital para que ellos, con buena gestión, garanticen buenas remuneraciones. </w:t>
      </w:r>
    </w:p>
    <w:p w14:paraId="62643E4C" w14:textId="544C4094" w:rsidR="009B6795" w:rsidRDefault="00F36A7B">
      <w:pPr>
        <w:spacing w:before="120" w:after="120" w:line="300" w:lineRule="auto"/>
        <w:jc w:val="both"/>
        <w:rPr>
          <w:rFonts w:ascii="Arial" w:eastAsia="Arial" w:hAnsi="Arial" w:cs="Arial"/>
        </w:rPr>
      </w:pPr>
      <w:r>
        <w:rPr>
          <w:rFonts w:ascii="Arial" w:eastAsia="Arial" w:hAnsi="Arial" w:cs="Arial"/>
        </w:rPr>
        <w:t>El Garrahan es un hospital pediátrico</w:t>
      </w:r>
      <w:r w:rsidR="00EB6029">
        <w:rPr>
          <w:rFonts w:ascii="Arial" w:eastAsia="Arial" w:hAnsi="Arial" w:cs="Arial"/>
        </w:rPr>
        <w:t xml:space="preserve"> </w:t>
      </w:r>
      <w:sdt>
        <w:sdtPr>
          <w:tag w:val="goog_rdk_1"/>
          <w:id w:val="20449455"/>
        </w:sdtPr>
        <w:sdtEndPr/>
        <w:sdtContent>
          <w:r>
            <w:rPr>
              <w:rFonts w:ascii="Arial" w:eastAsia="Arial" w:hAnsi="Arial" w:cs="Arial"/>
            </w:rPr>
            <w:t>de alta complejidad</w:t>
          </w:r>
        </w:sdtContent>
      </w:sdt>
      <w:r>
        <w:rPr>
          <w:rFonts w:ascii="Arial" w:eastAsia="Arial" w:hAnsi="Arial" w:cs="Arial"/>
        </w:rPr>
        <w:t xml:space="preserve"> con niveles de excelencia en atención médica, formación de pediatras e investigación científica. </w:t>
      </w:r>
      <w:r>
        <w:rPr>
          <w:rFonts w:ascii="Arial" w:eastAsia="Arial" w:hAnsi="Arial" w:cs="Arial"/>
          <w:b/>
        </w:rPr>
        <w:t>A diferencia de otros hospitales públicos es un ente autárquico con independencia financiera y administrativa dirigido por un consejo de administración propio</w:t>
      </w:r>
      <w:r>
        <w:rPr>
          <w:rFonts w:ascii="Arial" w:eastAsia="Arial" w:hAnsi="Arial" w:cs="Arial"/>
        </w:rPr>
        <w:t xml:space="preserve">. Su base </w:t>
      </w:r>
      <w:r w:rsidR="00AE7514">
        <w:rPr>
          <w:rFonts w:ascii="Arial" w:eastAsia="Arial" w:hAnsi="Arial" w:cs="Arial"/>
        </w:rPr>
        <w:t xml:space="preserve">de financiamiento </w:t>
      </w:r>
      <w:r>
        <w:rPr>
          <w:rFonts w:ascii="Arial" w:eastAsia="Arial" w:hAnsi="Arial" w:cs="Arial"/>
        </w:rPr>
        <w:t xml:space="preserve">estatal </w:t>
      </w:r>
      <w:r w:rsidR="00AE7514">
        <w:rPr>
          <w:rFonts w:ascii="Arial" w:eastAsia="Arial" w:hAnsi="Arial" w:cs="Arial"/>
        </w:rPr>
        <w:t xml:space="preserve">es </w:t>
      </w:r>
      <w:r>
        <w:rPr>
          <w:rFonts w:ascii="Arial" w:eastAsia="Arial" w:hAnsi="Arial" w:cs="Arial"/>
        </w:rPr>
        <w:t>aportad</w:t>
      </w:r>
      <w:r w:rsidR="00AE7514">
        <w:rPr>
          <w:rFonts w:ascii="Arial" w:eastAsia="Arial" w:hAnsi="Arial" w:cs="Arial"/>
        </w:rPr>
        <w:t>a</w:t>
      </w:r>
      <w:r>
        <w:rPr>
          <w:rFonts w:ascii="Arial" w:eastAsia="Arial" w:hAnsi="Arial" w:cs="Arial"/>
        </w:rPr>
        <w:t xml:space="preserve"> en un 80% por el Estado nacional y un 20% por la C</w:t>
      </w:r>
      <w:r w:rsidR="00AE7514">
        <w:rPr>
          <w:rFonts w:ascii="Arial" w:eastAsia="Arial" w:hAnsi="Arial" w:cs="Arial"/>
        </w:rPr>
        <w:t>ABA</w:t>
      </w:r>
      <w:r w:rsidR="00EB6029">
        <w:rPr>
          <w:rFonts w:ascii="Arial" w:eastAsia="Arial" w:hAnsi="Arial" w:cs="Arial"/>
        </w:rPr>
        <w:t>. Complementa sus ingresos</w:t>
      </w:r>
      <w:r>
        <w:rPr>
          <w:rFonts w:ascii="Arial" w:eastAsia="Arial" w:hAnsi="Arial" w:cs="Arial"/>
        </w:rPr>
        <w:t xml:space="preserve"> con cobros en caso de que el paciente tenga cobertura de salud.</w:t>
      </w:r>
    </w:p>
    <w:p w14:paraId="3AB6E312" w14:textId="77777777" w:rsidR="009B6795" w:rsidRDefault="00F36A7B">
      <w:pPr>
        <w:spacing w:before="120" w:after="120" w:line="300" w:lineRule="auto"/>
        <w:jc w:val="both"/>
        <w:rPr>
          <w:rFonts w:ascii="Arial" w:eastAsia="Arial" w:hAnsi="Arial" w:cs="Arial"/>
        </w:rPr>
      </w:pPr>
      <w:r>
        <w:rPr>
          <w:rFonts w:ascii="Arial" w:eastAsia="Arial" w:hAnsi="Arial" w:cs="Arial"/>
        </w:rPr>
        <w:t xml:space="preserve">Los profesionales denuncian que sus remuneraciones son muy bajas en relación a sus responsabilidades y carga de trabajo. Desde el Ministerio de Salud responden que el problema no radica en la falta de recursos sino en la mala administración que toleró una exagerada expansión de empleados administrativos. </w:t>
      </w:r>
      <w:r>
        <w:rPr>
          <w:rFonts w:ascii="Arial" w:eastAsia="Arial" w:hAnsi="Arial" w:cs="Arial"/>
          <w:b/>
        </w:rPr>
        <w:t>A pesar de la autarquía administrativa del Hospital, el Ministerio de Salud se comprometió a combatir el empleo espurio para generar los excedentes que permitan mejorar la remuneración de los médicos</w:t>
      </w:r>
      <w:r>
        <w:rPr>
          <w:rFonts w:ascii="Arial" w:eastAsia="Arial" w:hAnsi="Arial" w:cs="Arial"/>
        </w:rPr>
        <w:t xml:space="preserve">.  </w:t>
      </w:r>
    </w:p>
    <w:p w14:paraId="1531EDE0" w14:textId="5FE3FACE" w:rsidR="009B6795" w:rsidRDefault="00F36A7B">
      <w:pPr>
        <w:spacing w:before="120" w:after="120" w:line="300" w:lineRule="auto"/>
        <w:jc w:val="both"/>
        <w:rPr>
          <w:rFonts w:ascii="Arial" w:eastAsia="Arial" w:hAnsi="Arial" w:cs="Arial"/>
        </w:rPr>
      </w:pPr>
      <w:r>
        <w:rPr>
          <w:rFonts w:ascii="Arial" w:eastAsia="Arial" w:hAnsi="Arial" w:cs="Arial"/>
        </w:rPr>
        <w:t xml:space="preserve">La pregunta </w:t>
      </w:r>
      <w:r w:rsidR="0057169C">
        <w:rPr>
          <w:rFonts w:ascii="Arial" w:eastAsia="Arial" w:hAnsi="Arial" w:cs="Arial"/>
        </w:rPr>
        <w:t xml:space="preserve">es </w:t>
      </w:r>
      <w:r>
        <w:rPr>
          <w:rFonts w:ascii="Arial" w:eastAsia="Arial" w:hAnsi="Arial" w:cs="Arial"/>
        </w:rPr>
        <w:t>si el Ministerio de Salud nacional debe involucrarse en la gestión del Garrahan. Para responderla sirve partir de un recuento de los hospitales que están a cargo de la Nación. Según</w:t>
      </w:r>
      <w:r w:rsidR="00EB6029">
        <w:rPr>
          <w:rFonts w:ascii="Arial" w:eastAsia="Arial" w:hAnsi="Arial" w:cs="Arial"/>
        </w:rPr>
        <w:t xml:space="preserve"> datos d</w:t>
      </w:r>
      <w:r>
        <w:rPr>
          <w:rFonts w:ascii="Arial" w:eastAsia="Arial" w:hAnsi="Arial" w:cs="Arial"/>
        </w:rPr>
        <w:t>el Ministerio de Economía</w:t>
      </w:r>
      <w:r w:rsidR="0057169C">
        <w:rPr>
          <w:rFonts w:ascii="Arial" w:eastAsia="Arial" w:hAnsi="Arial" w:cs="Arial"/>
        </w:rPr>
        <w:t xml:space="preserve"> para </w:t>
      </w:r>
      <w:r w:rsidR="0057169C" w:rsidRPr="0057169C">
        <w:rPr>
          <w:rFonts w:ascii="Arial" w:eastAsia="Arial" w:hAnsi="Arial" w:cs="Arial"/>
          <w:b/>
          <w:bCs/>
        </w:rPr>
        <w:t>el</w:t>
      </w:r>
      <w:r w:rsidR="00D17090">
        <w:rPr>
          <w:rFonts w:ascii="Arial" w:eastAsia="Arial" w:hAnsi="Arial" w:cs="Arial"/>
          <w:b/>
          <w:bCs/>
        </w:rPr>
        <w:t xml:space="preserve"> año</w:t>
      </w:r>
      <w:r w:rsidR="0057169C" w:rsidRPr="0057169C">
        <w:rPr>
          <w:rFonts w:ascii="Arial" w:eastAsia="Arial" w:hAnsi="Arial" w:cs="Arial"/>
          <w:b/>
          <w:bCs/>
        </w:rPr>
        <w:t xml:space="preserve"> 2024</w:t>
      </w:r>
      <w:r w:rsidR="0057169C">
        <w:rPr>
          <w:rFonts w:ascii="Arial" w:eastAsia="Arial" w:hAnsi="Arial" w:cs="Arial"/>
        </w:rPr>
        <w:t xml:space="preserve"> </w:t>
      </w:r>
      <w:r>
        <w:rPr>
          <w:rFonts w:ascii="Arial" w:eastAsia="Arial" w:hAnsi="Arial" w:cs="Arial"/>
        </w:rPr>
        <w:t>se observa que:</w:t>
      </w:r>
    </w:p>
    <w:p w14:paraId="377F7707" w14:textId="55FA24E1" w:rsidR="009B6795" w:rsidRDefault="00F36A7B">
      <w:pPr>
        <w:numPr>
          <w:ilvl w:val="0"/>
          <w:numId w:val="1"/>
        </w:numPr>
        <w:spacing w:before="120" w:after="120" w:line="300" w:lineRule="auto"/>
        <w:jc w:val="both"/>
        <w:rPr>
          <w:rFonts w:ascii="Arial" w:eastAsia="Arial" w:hAnsi="Arial" w:cs="Arial"/>
        </w:rPr>
      </w:pPr>
      <w:r>
        <w:rPr>
          <w:rFonts w:ascii="Arial" w:eastAsia="Arial" w:hAnsi="Arial" w:cs="Arial"/>
        </w:rPr>
        <w:t xml:space="preserve">Hay </w:t>
      </w:r>
      <w:r>
        <w:rPr>
          <w:rFonts w:ascii="Arial" w:eastAsia="Arial" w:hAnsi="Arial" w:cs="Arial"/>
          <w:b/>
        </w:rPr>
        <w:t>3</w:t>
      </w:r>
      <w:r>
        <w:rPr>
          <w:rFonts w:ascii="Arial" w:eastAsia="Arial" w:hAnsi="Arial" w:cs="Arial"/>
        </w:rPr>
        <w:t xml:space="preserve"> hospitales nacionales en </w:t>
      </w:r>
      <w:r>
        <w:rPr>
          <w:rFonts w:ascii="Arial" w:eastAsia="Arial" w:hAnsi="Arial" w:cs="Arial"/>
          <w:b/>
        </w:rPr>
        <w:t>CABA</w:t>
      </w:r>
      <w:r>
        <w:rPr>
          <w:rFonts w:ascii="Arial" w:eastAsia="Arial" w:hAnsi="Arial" w:cs="Arial"/>
        </w:rPr>
        <w:t xml:space="preserve"> (</w:t>
      </w:r>
      <w:r w:rsidR="00AE7514">
        <w:rPr>
          <w:rFonts w:ascii="Arial" w:eastAsia="Arial" w:hAnsi="Arial" w:cs="Arial"/>
        </w:rPr>
        <w:t>entre los que se cuenta</w:t>
      </w:r>
      <w:r w:rsidR="00EB6029">
        <w:rPr>
          <w:rFonts w:ascii="Arial" w:eastAsia="Arial" w:hAnsi="Arial" w:cs="Arial"/>
        </w:rPr>
        <w:t xml:space="preserve"> el</w:t>
      </w:r>
      <w:r>
        <w:rPr>
          <w:rFonts w:ascii="Arial" w:eastAsia="Arial" w:hAnsi="Arial" w:cs="Arial"/>
        </w:rPr>
        <w:t xml:space="preserve"> Garrahan) que insumen el </w:t>
      </w:r>
      <w:r>
        <w:rPr>
          <w:rFonts w:ascii="Arial" w:eastAsia="Arial" w:hAnsi="Arial" w:cs="Arial"/>
          <w:b/>
        </w:rPr>
        <w:t>14%</w:t>
      </w:r>
      <w:r>
        <w:rPr>
          <w:rFonts w:ascii="Arial" w:eastAsia="Arial" w:hAnsi="Arial" w:cs="Arial"/>
        </w:rPr>
        <w:t xml:space="preserve"> del presupuesto del Ministerio de Salud nacional.</w:t>
      </w:r>
    </w:p>
    <w:p w14:paraId="30061A6A" w14:textId="77777777" w:rsidR="009B6795" w:rsidRDefault="00F36A7B">
      <w:pPr>
        <w:numPr>
          <w:ilvl w:val="0"/>
          <w:numId w:val="1"/>
        </w:numPr>
        <w:spacing w:before="120" w:after="120" w:line="300" w:lineRule="auto"/>
        <w:jc w:val="both"/>
        <w:rPr>
          <w:rFonts w:ascii="Arial" w:eastAsia="Arial" w:hAnsi="Arial" w:cs="Arial"/>
        </w:rPr>
      </w:pPr>
      <w:r>
        <w:rPr>
          <w:rFonts w:ascii="Arial" w:eastAsia="Arial" w:hAnsi="Arial" w:cs="Arial"/>
        </w:rPr>
        <w:t xml:space="preserve">Otros </w:t>
      </w:r>
      <w:r>
        <w:rPr>
          <w:rFonts w:ascii="Arial" w:eastAsia="Arial" w:hAnsi="Arial" w:cs="Arial"/>
          <w:b/>
        </w:rPr>
        <w:t>7</w:t>
      </w:r>
      <w:r>
        <w:rPr>
          <w:rFonts w:ascii="Arial" w:eastAsia="Arial" w:hAnsi="Arial" w:cs="Arial"/>
        </w:rPr>
        <w:t xml:space="preserve"> hospitales nacionales están en la </w:t>
      </w:r>
      <w:r>
        <w:rPr>
          <w:rFonts w:ascii="Arial" w:eastAsia="Arial" w:hAnsi="Arial" w:cs="Arial"/>
          <w:b/>
        </w:rPr>
        <w:t>Provincia de Buenos Aires</w:t>
      </w:r>
      <w:r>
        <w:rPr>
          <w:rFonts w:ascii="Arial" w:eastAsia="Arial" w:hAnsi="Arial" w:cs="Arial"/>
        </w:rPr>
        <w:t xml:space="preserve"> (6 en el conurbano y 1 en Mar del Plata) donde asigna el </w:t>
      </w:r>
      <w:r>
        <w:rPr>
          <w:rFonts w:ascii="Arial" w:eastAsia="Arial" w:hAnsi="Arial" w:cs="Arial"/>
          <w:b/>
        </w:rPr>
        <w:t>27%</w:t>
      </w:r>
      <w:r>
        <w:rPr>
          <w:rFonts w:ascii="Arial" w:eastAsia="Arial" w:hAnsi="Arial" w:cs="Arial"/>
        </w:rPr>
        <w:t xml:space="preserve"> de su presupuesto.</w:t>
      </w:r>
    </w:p>
    <w:p w14:paraId="75302A4C" w14:textId="77777777" w:rsidR="009B6795" w:rsidRDefault="00F36A7B">
      <w:pPr>
        <w:numPr>
          <w:ilvl w:val="0"/>
          <w:numId w:val="1"/>
        </w:numPr>
        <w:spacing w:before="120" w:after="120" w:line="300" w:lineRule="auto"/>
        <w:jc w:val="both"/>
        <w:rPr>
          <w:rFonts w:ascii="Arial" w:eastAsia="Arial" w:hAnsi="Arial" w:cs="Arial"/>
        </w:rPr>
      </w:pPr>
      <w:r>
        <w:rPr>
          <w:rFonts w:ascii="Arial" w:eastAsia="Arial" w:hAnsi="Arial" w:cs="Arial"/>
        </w:rPr>
        <w:t xml:space="preserve">Hay </w:t>
      </w:r>
      <w:r>
        <w:rPr>
          <w:rFonts w:ascii="Arial" w:eastAsia="Arial" w:hAnsi="Arial" w:cs="Arial"/>
          <w:b/>
        </w:rPr>
        <w:t>1</w:t>
      </w:r>
      <w:r>
        <w:rPr>
          <w:rFonts w:ascii="Arial" w:eastAsia="Arial" w:hAnsi="Arial" w:cs="Arial"/>
        </w:rPr>
        <w:t xml:space="preserve"> hospital en la provincia de </w:t>
      </w:r>
      <w:r>
        <w:rPr>
          <w:rFonts w:ascii="Arial" w:eastAsia="Arial" w:hAnsi="Arial" w:cs="Arial"/>
          <w:b/>
        </w:rPr>
        <w:t>Santa Cruz</w:t>
      </w:r>
      <w:r>
        <w:rPr>
          <w:rFonts w:ascii="Arial" w:eastAsia="Arial" w:hAnsi="Arial" w:cs="Arial"/>
        </w:rPr>
        <w:t xml:space="preserve"> donde asigna el </w:t>
      </w:r>
      <w:r>
        <w:rPr>
          <w:rFonts w:ascii="Arial" w:eastAsia="Arial" w:hAnsi="Arial" w:cs="Arial"/>
          <w:b/>
        </w:rPr>
        <w:t xml:space="preserve">2% </w:t>
      </w:r>
      <w:r>
        <w:rPr>
          <w:rFonts w:ascii="Arial" w:eastAsia="Arial" w:hAnsi="Arial" w:cs="Arial"/>
        </w:rPr>
        <w:t>de su presupuesto.</w:t>
      </w:r>
    </w:p>
    <w:p w14:paraId="53D3A4FD" w14:textId="77777777" w:rsidR="009B6795" w:rsidRDefault="00F36A7B">
      <w:pPr>
        <w:spacing w:before="120" w:after="120" w:line="300" w:lineRule="auto"/>
        <w:jc w:val="both"/>
        <w:rPr>
          <w:rFonts w:ascii="Arial" w:eastAsia="Arial" w:hAnsi="Arial" w:cs="Arial"/>
        </w:rPr>
      </w:pPr>
      <w:r>
        <w:rPr>
          <w:rFonts w:ascii="Arial" w:eastAsia="Arial" w:hAnsi="Arial" w:cs="Arial"/>
        </w:rPr>
        <w:lastRenderedPageBreak/>
        <w:t xml:space="preserve">Estos datos muestran que el Ministerio de Salud nacional destina el </w:t>
      </w:r>
      <w:r>
        <w:rPr>
          <w:rFonts w:ascii="Arial" w:eastAsia="Arial" w:hAnsi="Arial" w:cs="Arial"/>
          <w:b/>
        </w:rPr>
        <w:t>43%</w:t>
      </w:r>
      <w:r>
        <w:rPr>
          <w:rFonts w:ascii="Arial" w:eastAsia="Arial" w:hAnsi="Arial" w:cs="Arial"/>
        </w:rPr>
        <w:t xml:space="preserve"> de su presupuesto a financiar </w:t>
      </w:r>
      <w:r>
        <w:rPr>
          <w:rFonts w:ascii="Arial" w:eastAsia="Arial" w:hAnsi="Arial" w:cs="Arial"/>
          <w:b/>
        </w:rPr>
        <w:t>11</w:t>
      </w:r>
      <w:r>
        <w:rPr>
          <w:rFonts w:ascii="Arial" w:eastAsia="Arial" w:hAnsi="Arial" w:cs="Arial"/>
        </w:rPr>
        <w:t xml:space="preserve"> hospitales.</w:t>
      </w:r>
      <w:r>
        <w:t xml:space="preserve"> </w:t>
      </w:r>
      <w:r>
        <w:rPr>
          <w:rFonts w:ascii="Arial" w:eastAsia="Arial" w:hAnsi="Arial" w:cs="Arial"/>
        </w:rPr>
        <w:t xml:space="preserve">Cuatro de ellos fueron creados por el Kirchnerismo en el Conurbano y otro en El Calafate. </w:t>
      </w:r>
      <w:r>
        <w:rPr>
          <w:rFonts w:ascii="Arial" w:eastAsia="Arial" w:hAnsi="Arial" w:cs="Arial"/>
          <w:b/>
        </w:rPr>
        <w:t>El esquema es de una arbitrariedad absurda ya que implica que los ciudadanos de todo el país sostienen con sus impuestos los hospitales públicos de sus provincias y los hospitales nacionales en CABA, en el Conurbano y en El Calafate</w:t>
      </w:r>
      <w:r>
        <w:rPr>
          <w:rFonts w:ascii="Arial" w:eastAsia="Arial" w:hAnsi="Arial" w:cs="Arial"/>
        </w:rPr>
        <w:t>. La única explicación a este disparate es la discrecionalidad y el clientelismo a nivel nacional.</w:t>
      </w:r>
    </w:p>
    <w:p w14:paraId="796D4FA7" w14:textId="1B8305DE" w:rsidR="009B6795" w:rsidRDefault="00F36A7B">
      <w:pPr>
        <w:spacing w:before="120" w:after="120" w:line="300" w:lineRule="auto"/>
        <w:jc w:val="both"/>
        <w:rPr>
          <w:rFonts w:ascii="Arial" w:eastAsia="Arial" w:hAnsi="Arial" w:cs="Arial"/>
        </w:rPr>
      </w:pPr>
      <w:r>
        <w:rPr>
          <w:rFonts w:ascii="Arial" w:eastAsia="Arial" w:hAnsi="Arial" w:cs="Arial"/>
        </w:rPr>
        <w:t xml:space="preserve">En el arreglo constitucional de la Argentina de 1853 se estableció que el Estado nacional sólo tiene las competencias que las provincias expresamente le deleguen (Artículo 121 CN). En ningún artículo de la Constitución Nacional las provincias delegaron la salud pública en el Estado nacional. Al contrario, en todas las Constituciones Provinciales las provincias se reservan expresamente para sí la responsabilidad por la salud pública. Esto implica que </w:t>
      </w:r>
      <w:r>
        <w:rPr>
          <w:rFonts w:ascii="Arial" w:eastAsia="Arial" w:hAnsi="Arial" w:cs="Arial"/>
          <w:b/>
        </w:rPr>
        <w:t>no corresponde que el Estado nacional financie ni gestione hospitales públicos</w:t>
      </w:r>
      <w:r>
        <w:rPr>
          <w:rFonts w:ascii="Arial" w:eastAsia="Arial" w:hAnsi="Arial" w:cs="Arial"/>
        </w:rPr>
        <w:t>. Por lo tanto, se deberían transferir a la CABA, Provincia de Buenos Aires y Santa Cruz los hospitales nacionales para que ellas</w:t>
      </w:r>
      <w:r w:rsidR="00EB6029">
        <w:rPr>
          <w:rFonts w:ascii="Arial" w:eastAsia="Arial" w:hAnsi="Arial" w:cs="Arial"/>
        </w:rPr>
        <w:t xml:space="preserve"> los incorporen </w:t>
      </w:r>
      <w:r>
        <w:rPr>
          <w:rFonts w:ascii="Arial" w:eastAsia="Arial" w:hAnsi="Arial" w:cs="Arial"/>
        </w:rPr>
        <w:t xml:space="preserve">a su red provincial de hospitales públicos. </w:t>
      </w:r>
    </w:p>
    <w:p w14:paraId="7195C063" w14:textId="5CE80CA5" w:rsidR="009B6795" w:rsidRDefault="00F36A7B">
      <w:pPr>
        <w:spacing w:before="120" w:after="120" w:line="300" w:lineRule="auto"/>
        <w:jc w:val="both"/>
        <w:rPr>
          <w:rFonts w:ascii="Arial" w:eastAsia="Arial" w:hAnsi="Arial" w:cs="Arial"/>
        </w:rPr>
      </w:pPr>
      <w:r>
        <w:rPr>
          <w:rFonts w:ascii="Arial" w:eastAsia="Arial" w:hAnsi="Arial" w:cs="Arial"/>
          <w:b/>
        </w:rPr>
        <w:t>Dadas las particularidades del Hospital Garrahan, que es de referencia nacional y autárquico, la mejor alternativa es dárselo en propiedad al grupo médico que hoy sostiene al hospital</w:t>
      </w:r>
      <w:r>
        <w:rPr>
          <w:rFonts w:ascii="Arial" w:eastAsia="Arial" w:hAnsi="Arial" w:cs="Arial"/>
        </w:rPr>
        <w:t>. Son ellos los que están en condiciones de pagar buenas remuneraciones</w:t>
      </w:r>
      <w:r w:rsidR="008564E4">
        <w:rPr>
          <w:rFonts w:ascii="Arial" w:eastAsia="Arial" w:hAnsi="Arial" w:cs="Arial"/>
        </w:rPr>
        <w:t xml:space="preserve"> combinando la excelencia médica con la buena gestión</w:t>
      </w:r>
      <w:r>
        <w:rPr>
          <w:rFonts w:ascii="Arial" w:eastAsia="Arial" w:hAnsi="Arial" w:cs="Arial"/>
        </w:rPr>
        <w:t>. El financiamiento debería provenir del cobro a las obras sociales y prepagas por las prestaciones brindadas a sus afiliados y por las provincias cuando se trate de pacientes sin cobertura referidos desde los hospitales públicos provinciales</w:t>
      </w:r>
      <w:r w:rsidR="00EB6029">
        <w:rPr>
          <w:rFonts w:ascii="Arial" w:eastAsia="Arial" w:hAnsi="Arial" w:cs="Arial"/>
        </w:rPr>
        <w:t xml:space="preserve">. </w:t>
      </w:r>
      <w:r>
        <w:rPr>
          <w:rFonts w:ascii="Arial" w:eastAsia="Arial" w:hAnsi="Arial" w:cs="Arial"/>
        </w:rPr>
        <w:t xml:space="preserve">En otras palabras, para salvar al Garrahan hay que preservar y reforzar su autonomía administrativa y financiera liberándolo de su subordinación </w:t>
      </w:r>
      <w:r w:rsidR="008564E4">
        <w:rPr>
          <w:rFonts w:ascii="Arial" w:eastAsia="Arial" w:hAnsi="Arial" w:cs="Arial"/>
        </w:rPr>
        <w:t>de</w:t>
      </w:r>
      <w:r>
        <w:rPr>
          <w:rFonts w:ascii="Arial" w:eastAsia="Arial" w:hAnsi="Arial" w:cs="Arial"/>
        </w:rPr>
        <w:t>l Ministerio de Salud nacional.</w:t>
      </w:r>
    </w:p>
    <w:p w14:paraId="19028696" w14:textId="623A635A" w:rsidR="009B6795" w:rsidRDefault="00F36A7B">
      <w:pPr>
        <w:spacing w:before="120" w:after="120" w:line="300" w:lineRule="auto"/>
        <w:jc w:val="both"/>
        <w:rPr>
          <w:rFonts w:ascii="Arial" w:eastAsia="Arial" w:hAnsi="Arial" w:cs="Arial"/>
        </w:rPr>
      </w:pPr>
      <w:r>
        <w:rPr>
          <w:rFonts w:ascii="Arial" w:eastAsia="Arial" w:hAnsi="Arial" w:cs="Arial"/>
        </w:rPr>
        <w:t xml:space="preserve">Respetar la distribución de competencias de la Constitución Nacional suma equidad en salud y genera incentivos para mejorar la gestión. </w:t>
      </w:r>
      <w:r>
        <w:rPr>
          <w:rFonts w:ascii="Arial" w:eastAsia="Arial" w:hAnsi="Arial" w:cs="Arial"/>
          <w:b/>
        </w:rPr>
        <w:t>Es de estricta justicia distributiva corregir la asimetría de provincias que no se hacen cargo de todos los hospitales públicos que operan en su territorio</w:t>
      </w:r>
      <w:r>
        <w:rPr>
          <w:rFonts w:ascii="Arial" w:eastAsia="Arial" w:hAnsi="Arial" w:cs="Arial"/>
        </w:rPr>
        <w:t>. En este proceso de ordenamiento la</w:t>
      </w:r>
      <w:r w:rsidR="008564E4">
        <w:rPr>
          <w:rFonts w:ascii="Arial" w:eastAsia="Arial" w:hAnsi="Arial" w:cs="Arial"/>
        </w:rPr>
        <w:t>s</w:t>
      </w:r>
      <w:r>
        <w:rPr>
          <w:rFonts w:ascii="Arial" w:eastAsia="Arial" w:hAnsi="Arial" w:cs="Arial"/>
        </w:rPr>
        <w:t xml:space="preserve"> particularidad</w:t>
      </w:r>
      <w:r w:rsidR="008564E4">
        <w:rPr>
          <w:rFonts w:ascii="Arial" w:eastAsia="Arial" w:hAnsi="Arial" w:cs="Arial"/>
        </w:rPr>
        <w:t>es</w:t>
      </w:r>
      <w:r>
        <w:rPr>
          <w:rFonts w:ascii="Arial" w:eastAsia="Arial" w:hAnsi="Arial" w:cs="Arial"/>
        </w:rPr>
        <w:t xml:space="preserve"> del Garrahan hace</w:t>
      </w:r>
      <w:r w:rsidR="008564E4">
        <w:rPr>
          <w:rFonts w:ascii="Arial" w:eastAsia="Arial" w:hAnsi="Arial" w:cs="Arial"/>
        </w:rPr>
        <w:t>n</w:t>
      </w:r>
      <w:r>
        <w:rPr>
          <w:rFonts w:ascii="Arial" w:eastAsia="Arial" w:hAnsi="Arial" w:cs="Arial"/>
        </w:rPr>
        <w:t xml:space="preserve"> recomendable que la </w:t>
      </w:r>
      <w:r w:rsidR="008564E4">
        <w:rPr>
          <w:rFonts w:ascii="Arial" w:eastAsia="Arial" w:hAnsi="Arial" w:cs="Arial"/>
        </w:rPr>
        <w:t xml:space="preserve">administración </w:t>
      </w:r>
      <w:r>
        <w:rPr>
          <w:rFonts w:ascii="Arial" w:eastAsia="Arial" w:hAnsi="Arial" w:cs="Arial"/>
        </w:rPr>
        <w:t xml:space="preserve">sea asumida </w:t>
      </w:r>
      <w:r w:rsidR="008564E4">
        <w:rPr>
          <w:rFonts w:ascii="Arial" w:eastAsia="Arial" w:hAnsi="Arial" w:cs="Arial"/>
        </w:rPr>
        <w:t xml:space="preserve">íntegramente </w:t>
      </w:r>
      <w:r>
        <w:rPr>
          <w:rFonts w:ascii="Arial" w:eastAsia="Arial" w:hAnsi="Arial" w:cs="Arial"/>
        </w:rPr>
        <w:t>por sus médicos</w:t>
      </w:r>
      <w:r w:rsidR="008564E4">
        <w:rPr>
          <w:rFonts w:ascii="Arial" w:eastAsia="Arial" w:hAnsi="Arial" w:cs="Arial"/>
        </w:rPr>
        <w:t>, de manera que la excelencia médica sea acompañada por una buena gestión</w:t>
      </w:r>
      <w:r>
        <w:rPr>
          <w:rFonts w:ascii="Arial" w:eastAsia="Arial" w:hAnsi="Arial" w:cs="Arial"/>
        </w:rPr>
        <w:t xml:space="preserve">. </w:t>
      </w:r>
    </w:p>
    <w:p w14:paraId="10F1DC45" w14:textId="77777777" w:rsidR="009B6795" w:rsidRDefault="00F36A7B">
      <w:pPr>
        <w:jc w:val="center"/>
        <w:rPr>
          <w:rFonts w:ascii="Arial" w:eastAsia="Arial" w:hAnsi="Arial" w:cs="Arial"/>
          <w:b/>
        </w:rPr>
      </w:pPr>
      <w:r>
        <w:rPr>
          <w:rFonts w:ascii="Arial" w:eastAsia="Arial" w:hAnsi="Arial" w:cs="Arial"/>
          <w:b/>
        </w:rPr>
        <w:t>Presupuesto del Ministerio de Salud nacional</w:t>
      </w:r>
    </w:p>
    <w:p w14:paraId="299C0A40" w14:textId="77777777" w:rsidR="009B6795" w:rsidRDefault="00F36A7B">
      <w:pPr>
        <w:jc w:val="center"/>
        <w:rPr>
          <w:rFonts w:ascii="Arial" w:eastAsia="Arial" w:hAnsi="Arial" w:cs="Arial"/>
          <w:sz w:val="22"/>
          <w:szCs w:val="22"/>
        </w:rPr>
      </w:pPr>
      <w:r>
        <w:rPr>
          <w:rFonts w:ascii="Arial" w:eastAsia="Arial" w:hAnsi="Arial" w:cs="Arial"/>
          <w:sz w:val="22"/>
          <w:szCs w:val="22"/>
        </w:rPr>
        <w:t>Ejecución 2024</w:t>
      </w:r>
    </w:p>
    <w:p w14:paraId="62420227" w14:textId="77777777" w:rsidR="009B6795" w:rsidRDefault="00F36A7B">
      <w:pPr>
        <w:jc w:val="center"/>
        <w:rPr>
          <w:rFonts w:ascii="Arial" w:eastAsia="Arial" w:hAnsi="Arial" w:cs="Arial"/>
          <w:sz w:val="20"/>
          <w:szCs w:val="20"/>
        </w:rPr>
      </w:pPr>
      <w:r>
        <w:rPr>
          <w:rFonts w:ascii="Arial" w:eastAsia="Arial" w:hAnsi="Arial" w:cs="Arial"/>
          <w:noProof/>
          <w:sz w:val="20"/>
          <w:szCs w:val="20"/>
          <w:lang w:val="es-ES"/>
        </w:rPr>
        <w:drawing>
          <wp:anchor distT="0" distB="0" distL="114300" distR="114300" simplePos="0" relativeHeight="251660288" behindDoc="0" locked="0" layoutInCell="1" hidden="0" allowOverlap="1" wp14:anchorId="43E92EAC" wp14:editId="63B04F94">
            <wp:simplePos x="0" y="0"/>
            <wp:positionH relativeFrom="margin">
              <wp:posOffset>1409065</wp:posOffset>
            </wp:positionH>
            <wp:positionV relativeFrom="page">
              <wp:posOffset>7772400</wp:posOffset>
            </wp:positionV>
            <wp:extent cx="3531235" cy="2186940"/>
            <wp:effectExtent l="0" t="0" r="0" b="0"/>
            <wp:wrapSquare wrapText="bothSides" distT="0" distB="0" distL="114300" distR="114300"/>
            <wp:docPr id="184090676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3531235" cy="2186940"/>
                    </a:xfrm>
                    <a:prstGeom prst="rect">
                      <a:avLst/>
                    </a:prstGeom>
                    <a:ln/>
                  </pic:spPr>
                </pic:pic>
              </a:graphicData>
            </a:graphic>
          </wp:anchor>
        </w:drawing>
      </w:r>
    </w:p>
    <w:p w14:paraId="19598842" w14:textId="77777777" w:rsidR="009B6795" w:rsidRDefault="009B6795">
      <w:pPr>
        <w:jc w:val="center"/>
        <w:rPr>
          <w:rFonts w:ascii="Arial" w:eastAsia="Arial" w:hAnsi="Arial" w:cs="Arial"/>
          <w:sz w:val="20"/>
          <w:szCs w:val="20"/>
        </w:rPr>
      </w:pPr>
    </w:p>
    <w:p w14:paraId="1ACD09A5" w14:textId="194BE58A" w:rsidR="009B6795" w:rsidRDefault="00A05833">
      <w:pPr>
        <w:jc w:val="center"/>
        <w:rPr>
          <w:rFonts w:ascii="Arial" w:eastAsia="Arial" w:hAnsi="Arial" w:cs="Arial"/>
          <w:sz w:val="20"/>
          <w:szCs w:val="20"/>
        </w:rPr>
      </w:pPr>
      <w:r>
        <w:rPr>
          <w:noProof/>
          <w:lang w:val="es-ES"/>
        </w:rPr>
        <w:drawing>
          <wp:anchor distT="0" distB="0" distL="114300" distR="114300" simplePos="0" relativeHeight="251662336" behindDoc="0" locked="0" layoutInCell="1" hidden="0" allowOverlap="1" wp14:anchorId="6DA4910B" wp14:editId="46C6FF8B">
            <wp:simplePos x="0" y="0"/>
            <wp:positionH relativeFrom="column">
              <wp:posOffset>5013960</wp:posOffset>
            </wp:positionH>
            <wp:positionV relativeFrom="paragraph">
              <wp:posOffset>1374140</wp:posOffset>
            </wp:positionV>
            <wp:extent cx="917575" cy="466725"/>
            <wp:effectExtent l="0" t="0" r="0" b="0"/>
            <wp:wrapSquare wrapText="bothSides" distT="0" distB="0" distL="114300" distR="114300"/>
            <wp:docPr id="1840906771" name="image2.png" descr="Forma&#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2.png" descr="Forma&#10;&#10;El contenido generado por IA puede ser incorrecto."/>
                    <pic:cNvPicPr preferRelativeResize="0"/>
                  </pic:nvPicPr>
                  <pic:blipFill>
                    <a:blip r:embed="rId11"/>
                    <a:srcRect/>
                    <a:stretch>
                      <a:fillRect/>
                    </a:stretch>
                  </pic:blipFill>
                  <pic:spPr>
                    <a:xfrm>
                      <a:off x="0" y="0"/>
                      <a:ext cx="917575" cy="466725"/>
                    </a:xfrm>
                    <a:prstGeom prst="rect">
                      <a:avLst/>
                    </a:prstGeom>
                    <a:ln/>
                  </pic:spPr>
                </pic:pic>
              </a:graphicData>
            </a:graphic>
          </wp:anchor>
        </w:drawing>
      </w:r>
      <w:r w:rsidR="00F36A7B">
        <w:rPr>
          <w:noProof/>
          <w:lang w:val="es-ES"/>
        </w:rPr>
        <w:drawing>
          <wp:anchor distT="0" distB="0" distL="114300" distR="114300" simplePos="0" relativeHeight="251661312" behindDoc="0" locked="0" layoutInCell="1" hidden="0" allowOverlap="1" wp14:anchorId="7DE9CB76" wp14:editId="46243A82">
            <wp:simplePos x="0" y="0"/>
            <wp:positionH relativeFrom="margin">
              <wp:posOffset>123825</wp:posOffset>
            </wp:positionH>
            <wp:positionV relativeFrom="margin">
              <wp:posOffset>8658860</wp:posOffset>
            </wp:positionV>
            <wp:extent cx="1292860" cy="591185"/>
            <wp:effectExtent l="0" t="0" r="0" b="0"/>
            <wp:wrapSquare wrapText="bothSides" distT="0" distB="0" distL="114300" distR="114300"/>
            <wp:docPr id="184090677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1292860" cy="591185"/>
                    </a:xfrm>
                    <a:prstGeom prst="rect">
                      <a:avLst/>
                    </a:prstGeom>
                    <a:ln/>
                  </pic:spPr>
                </pic:pic>
              </a:graphicData>
            </a:graphic>
          </wp:anchor>
        </w:drawing>
      </w:r>
    </w:p>
    <w:sectPr w:rsidR="009B6795">
      <w:footerReference w:type="default" r:id="rId13"/>
      <w:pgSz w:w="11906" w:h="16838"/>
      <w:pgMar w:top="1134" w:right="851"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F16D0D" w14:textId="77777777" w:rsidR="0026556F" w:rsidRDefault="0026556F">
      <w:r>
        <w:separator/>
      </w:r>
    </w:p>
  </w:endnote>
  <w:endnote w:type="continuationSeparator" w:id="0">
    <w:p w14:paraId="325EC523" w14:textId="77777777" w:rsidR="0026556F" w:rsidRDefault="00265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EBC8C" w14:textId="77777777" w:rsidR="009B6795" w:rsidRDefault="009B6795">
    <w:pPr>
      <w:pBdr>
        <w:top w:val="nil"/>
        <w:left w:val="nil"/>
        <w:bottom w:val="nil"/>
        <w:right w:val="nil"/>
        <w:between w:val="nil"/>
      </w:pBdr>
      <w:jc w:val="center"/>
      <w:rPr>
        <w:rFonts w:ascii="Arial Black" w:eastAsia="Arial Black" w:hAnsi="Arial Black" w:cs="Arial Black"/>
        <w:color w:val="000000"/>
        <w:sz w:val="20"/>
        <w:szCs w:val="20"/>
      </w:rPr>
    </w:pPr>
  </w:p>
  <w:p w14:paraId="75742411" w14:textId="77777777" w:rsidR="009B6795" w:rsidRDefault="00F36A7B">
    <w:pPr>
      <w:pBdr>
        <w:top w:val="nil"/>
        <w:left w:val="nil"/>
        <w:bottom w:val="nil"/>
        <w:right w:val="nil"/>
        <w:between w:val="nil"/>
      </w:pBdr>
      <w:jc w:val="center"/>
      <w:rPr>
        <w:color w:val="000000"/>
      </w:rPr>
    </w:pPr>
    <w:r>
      <w:rPr>
        <w:rFonts w:ascii="Arial Black" w:eastAsia="Arial Black" w:hAnsi="Arial Black" w:cs="Arial Black"/>
        <w:color w:val="000000"/>
        <w:sz w:val="20"/>
        <w:szCs w:val="20"/>
      </w:rPr>
      <w:t xml:space="preserve">info@idesa.org - </w:t>
    </w:r>
    <w:hyperlink r:id="rId1">
      <w:r>
        <w:rPr>
          <w:rFonts w:ascii="Arial Black" w:eastAsia="Arial Black" w:hAnsi="Arial Black" w:cs="Arial Black"/>
          <w:color w:val="0000FF"/>
          <w:sz w:val="20"/>
          <w:szCs w:val="20"/>
          <w:u w:val="single"/>
        </w:rPr>
        <w:t>www.idesa.org</w:t>
      </w:r>
    </w:hyperlink>
    <w:r>
      <w:rPr>
        <w:rFonts w:ascii="Arial Black" w:eastAsia="Arial Black" w:hAnsi="Arial Black" w:cs="Arial Black"/>
        <w:color w:val="000000"/>
        <w:sz w:val="20"/>
        <w:szCs w:val="20"/>
      </w:rPr>
      <w:t xml:space="preserve"> – </w:t>
    </w:r>
    <w:r>
      <w:rPr>
        <w:rFonts w:ascii="Arial" w:eastAsia="Arial" w:hAnsi="Arial" w:cs="Arial"/>
        <w:color w:val="000000"/>
        <w:sz w:val="20"/>
        <w:szCs w:val="20"/>
      </w:rPr>
      <w:t xml:space="preserve">Tel. (54) - 11 - 4374 7660 </w:t>
    </w:r>
    <w:r>
      <w:rPr>
        <w:rFonts w:ascii="Arial" w:eastAsia="Arial" w:hAnsi="Arial" w:cs="Arial"/>
        <w:b/>
        <w:color w:val="000000"/>
        <w:sz w:val="28"/>
        <w:szCs w:val="28"/>
      </w:rPr>
      <w:t>/</w:t>
    </w:r>
    <w:r>
      <w:rPr>
        <w:rFonts w:ascii="Arial" w:eastAsia="Arial" w:hAnsi="Arial" w:cs="Arial"/>
        <w:color w:val="000000"/>
        <w:sz w:val="20"/>
        <w:szCs w:val="20"/>
      </w:rPr>
      <w:t xml:space="preserve"> (54) - 351 - 427 1271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DEE0F2" w14:textId="77777777" w:rsidR="0026556F" w:rsidRDefault="0026556F">
      <w:r>
        <w:separator/>
      </w:r>
    </w:p>
  </w:footnote>
  <w:footnote w:type="continuationSeparator" w:id="0">
    <w:p w14:paraId="19D25999" w14:textId="77777777" w:rsidR="0026556F" w:rsidRDefault="002655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290004"/>
    <w:multiLevelType w:val="multilevel"/>
    <w:tmpl w:val="7734971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6795"/>
    <w:rsid w:val="0026556F"/>
    <w:rsid w:val="0057169C"/>
    <w:rsid w:val="00721A63"/>
    <w:rsid w:val="008564E4"/>
    <w:rsid w:val="009B6795"/>
    <w:rsid w:val="009E327B"/>
    <w:rsid w:val="00A05833"/>
    <w:rsid w:val="00AE7514"/>
    <w:rsid w:val="00AF492B"/>
    <w:rsid w:val="00BF2C94"/>
    <w:rsid w:val="00D17090"/>
    <w:rsid w:val="00EB6029"/>
    <w:rsid w:val="00F36A7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1480C"/>
  <w15:docId w15:val="{9D757429-BA58-44C6-964B-805CAA6A5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s-AR"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AE335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E3358"/>
    <w:rPr>
      <w:rFonts w:ascii="Segoe UI" w:hAnsi="Segoe UI" w:cs="Segoe UI"/>
      <w:sz w:val="18"/>
      <w:szCs w:val="18"/>
    </w:rPr>
  </w:style>
  <w:style w:type="paragraph" w:styleId="Revisin">
    <w:name w:val="Revision"/>
    <w:hidden/>
    <w:uiPriority w:val="99"/>
    <w:semiHidden/>
    <w:rsid w:val="000E4F43"/>
  </w:style>
  <w:style w:type="character" w:styleId="Refdecomentario">
    <w:name w:val="annotation reference"/>
    <w:basedOn w:val="Fuentedeprrafopredeter"/>
    <w:uiPriority w:val="99"/>
    <w:semiHidden/>
    <w:unhideWhenUsed/>
    <w:rsid w:val="00ED2E38"/>
    <w:rPr>
      <w:sz w:val="16"/>
      <w:szCs w:val="16"/>
    </w:rPr>
  </w:style>
  <w:style w:type="paragraph" w:styleId="Textocomentario">
    <w:name w:val="annotation text"/>
    <w:basedOn w:val="Normal"/>
    <w:link w:val="TextocomentarioCar"/>
    <w:uiPriority w:val="99"/>
    <w:semiHidden/>
    <w:unhideWhenUsed/>
    <w:rsid w:val="00ED2E38"/>
    <w:rPr>
      <w:sz w:val="20"/>
      <w:szCs w:val="20"/>
    </w:rPr>
  </w:style>
  <w:style w:type="character" w:customStyle="1" w:styleId="TextocomentarioCar">
    <w:name w:val="Texto comentario Car"/>
    <w:basedOn w:val="Fuentedeprrafopredeter"/>
    <w:link w:val="Textocomentario"/>
    <w:uiPriority w:val="99"/>
    <w:semiHidden/>
    <w:rsid w:val="00ED2E38"/>
    <w:rPr>
      <w:sz w:val="20"/>
      <w:szCs w:val="20"/>
    </w:rPr>
  </w:style>
  <w:style w:type="paragraph" w:styleId="Asuntodelcomentario">
    <w:name w:val="annotation subject"/>
    <w:basedOn w:val="Textocomentario"/>
    <w:next w:val="Textocomentario"/>
    <w:link w:val="AsuntodelcomentarioCar"/>
    <w:uiPriority w:val="99"/>
    <w:semiHidden/>
    <w:unhideWhenUsed/>
    <w:rsid w:val="00ED2E38"/>
    <w:rPr>
      <w:b/>
      <w:bCs/>
    </w:rPr>
  </w:style>
  <w:style w:type="character" w:customStyle="1" w:styleId="AsuntodelcomentarioCar">
    <w:name w:val="Asunto del comentario Car"/>
    <w:basedOn w:val="TextocomentarioCar"/>
    <w:link w:val="Asuntodelcomentario"/>
    <w:uiPriority w:val="99"/>
    <w:semiHidden/>
    <w:rsid w:val="00ED2E38"/>
    <w:rPr>
      <w:b/>
      <w:bCs/>
      <w:sz w:val="20"/>
      <w:szCs w:val="20"/>
    </w:rPr>
  </w:style>
  <w:style w:type="paragraph" w:styleId="Lista2">
    <w:name w:val="List 2"/>
    <w:basedOn w:val="Normal"/>
    <w:uiPriority w:val="99"/>
    <w:unhideWhenUsed/>
    <w:rsid w:val="00B90C39"/>
    <w:pPr>
      <w:ind w:left="566" w:hanging="283"/>
      <w:contextualSpacing/>
    </w:pPr>
  </w:style>
  <w:style w:type="paragraph" w:styleId="Saludo">
    <w:name w:val="Salutation"/>
    <w:basedOn w:val="Normal"/>
    <w:next w:val="Normal"/>
    <w:link w:val="SaludoCar"/>
    <w:uiPriority w:val="99"/>
    <w:unhideWhenUsed/>
    <w:rsid w:val="00B90C39"/>
  </w:style>
  <w:style w:type="character" w:customStyle="1" w:styleId="SaludoCar">
    <w:name w:val="Saludo Car"/>
    <w:basedOn w:val="Fuentedeprrafopredeter"/>
    <w:link w:val="Saludo"/>
    <w:uiPriority w:val="99"/>
    <w:rsid w:val="00B90C39"/>
  </w:style>
  <w:style w:type="paragraph" w:styleId="Fecha">
    <w:name w:val="Date"/>
    <w:basedOn w:val="Normal"/>
    <w:next w:val="Normal"/>
    <w:link w:val="FechaCar"/>
    <w:uiPriority w:val="99"/>
    <w:unhideWhenUsed/>
    <w:rsid w:val="00B90C39"/>
  </w:style>
  <w:style w:type="character" w:customStyle="1" w:styleId="FechaCar">
    <w:name w:val="Fecha Car"/>
    <w:basedOn w:val="Fuentedeprrafopredeter"/>
    <w:link w:val="Fecha"/>
    <w:uiPriority w:val="99"/>
    <w:rsid w:val="00B90C39"/>
  </w:style>
  <w:style w:type="paragraph" w:styleId="Textoindependiente">
    <w:name w:val="Body Text"/>
    <w:basedOn w:val="Normal"/>
    <w:link w:val="TextoindependienteCar"/>
    <w:uiPriority w:val="99"/>
    <w:unhideWhenUsed/>
    <w:rsid w:val="00B90C39"/>
    <w:pPr>
      <w:spacing w:after="120"/>
    </w:pPr>
  </w:style>
  <w:style w:type="character" w:customStyle="1" w:styleId="TextoindependienteCar">
    <w:name w:val="Texto independiente Car"/>
    <w:basedOn w:val="Fuentedeprrafopredeter"/>
    <w:link w:val="Textoindependiente"/>
    <w:uiPriority w:val="99"/>
    <w:rsid w:val="00B90C39"/>
  </w:style>
  <w:style w:type="paragraph" w:styleId="Encabezado">
    <w:name w:val="header"/>
    <w:basedOn w:val="Normal"/>
    <w:link w:val="EncabezadoCar"/>
    <w:uiPriority w:val="99"/>
    <w:unhideWhenUsed/>
    <w:rsid w:val="00E97290"/>
    <w:pPr>
      <w:tabs>
        <w:tab w:val="center" w:pos="4419"/>
        <w:tab w:val="right" w:pos="8838"/>
      </w:tabs>
    </w:pPr>
  </w:style>
  <w:style w:type="character" w:customStyle="1" w:styleId="EncabezadoCar">
    <w:name w:val="Encabezado Car"/>
    <w:basedOn w:val="Fuentedeprrafopredeter"/>
    <w:link w:val="Encabezado"/>
    <w:uiPriority w:val="99"/>
    <w:rsid w:val="00E97290"/>
  </w:style>
  <w:style w:type="paragraph" w:styleId="Piedepgina">
    <w:name w:val="footer"/>
    <w:basedOn w:val="Normal"/>
    <w:link w:val="PiedepginaCar"/>
    <w:uiPriority w:val="99"/>
    <w:unhideWhenUsed/>
    <w:rsid w:val="00E97290"/>
    <w:pPr>
      <w:tabs>
        <w:tab w:val="center" w:pos="4419"/>
        <w:tab w:val="right" w:pos="8838"/>
      </w:tabs>
    </w:pPr>
  </w:style>
  <w:style w:type="character" w:customStyle="1" w:styleId="PiedepginaCar">
    <w:name w:val="Pie de página Car"/>
    <w:basedOn w:val="Fuentedeprrafopredeter"/>
    <w:link w:val="Piedepgina"/>
    <w:uiPriority w:val="99"/>
    <w:rsid w:val="00E972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de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DwfH8Z0+BRsxDZGgQPrG/DWmw==">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715</Words>
  <Characters>3936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Lautaro Oviedo</cp:lastModifiedBy>
  <cp:revision>7</cp:revision>
  <dcterms:created xsi:type="dcterms:W3CDTF">2025-06-01T15:01:00Z</dcterms:created>
  <dcterms:modified xsi:type="dcterms:W3CDTF">2025-06-01T17:40:00Z</dcterms:modified>
</cp:coreProperties>
</file>