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451D19" w14:textId="77777777" w:rsidR="00957FAB" w:rsidRDefault="00957FAB" w:rsidP="00EE4D99">
      <w:pPr>
        <w:pBdr>
          <w:top w:val="nil"/>
          <w:left w:val="nil"/>
          <w:bottom w:val="nil"/>
          <w:right w:val="nil"/>
          <w:between w:val="nil"/>
        </w:pBdr>
        <w:rPr>
          <w:rFonts w:ascii="Arial" w:eastAsia="Arial" w:hAnsi="Arial" w:cs="Arial"/>
          <w:color w:val="000000"/>
        </w:rPr>
      </w:pPr>
    </w:p>
    <w:p w14:paraId="3836148B" w14:textId="77777777" w:rsidR="000D15B2" w:rsidRDefault="0070308D">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114935" distR="114935" simplePos="0" relativeHeight="251658240" behindDoc="0" locked="0" layoutInCell="1" hidden="0" allowOverlap="1" wp14:anchorId="210A7DB9" wp14:editId="75A4A4FA">
            <wp:simplePos x="0" y="0"/>
            <wp:positionH relativeFrom="column">
              <wp:posOffset>4556760</wp:posOffset>
            </wp:positionH>
            <wp:positionV relativeFrom="paragraph">
              <wp:posOffset>152400</wp:posOffset>
            </wp:positionV>
            <wp:extent cx="1189990" cy="1189990"/>
            <wp:effectExtent l="0" t="0" r="0" b="0"/>
            <wp:wrapSquare wrapText="bothSides" distT="0" distB="0" distL="114935" distR="114935"/>
            <wp:docPr id="1858061172" name="image1.png"/>
            <wp:cNvGraphicFramePr/>
            <a:graphic xmlns:a="http://schemas.openxmlformats.org/drawingml/2006/main">
              <a:graphicData uri="http://schemas.openxmlformats.org/drawingml/2006/picture">
                <pic:pic xmlns:pic="http://schemas.openxmlformats.org/drawingml/2006/picture">
                  <pic:nvPicPr>
                    <pic:cNvPr id="1858061172" name="image1.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1189990" cy="1189990"/>
                    </a:xfrm>
                    <a:prstGeom prst="rect">
                      <a:avLst/>
                    </a:prstGeom>
                    <a:ln/>
                  </pic:spPr>
                </pic:pic>
              </a:graphicData>
            </a:graphic>
            <wp14:sizeRelH relativeFrom="margin">
              <wp14:pctWidth>0</wp14:pctWidth>
            </wp14:sizeRelH>
          </wp:anchor>
        </w:drawing>
      </w:r>
    </w:p>
    <w:p w14:paraId="0DBED9FD" w14:textId="77777777" w:rsidR="000D15B2" w:rsidRDefault="0070308D">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0" distR="0" simplePos="0" relativeHeight="251659264" behindDoc="1" locked="0" layoutInCell="1" hidden="0" allowOverlap="1" wp14:anchorId="6E7CC88D" wp14:editId="4426B019">
            <wp:simplePos x="0" y="0"/>
            <wp:positionH relativeFrom="column">
              <wp:posOffset>114300</wp:posOffset>
            </wp:positionH>
            <wp:positionV relativeFrom="paragraph">
              <wp:posOffset>-407657</wp:posOffset>
            </wp:positionV>
            <wp:extent cx="1942465" cy="1892300"/>
            <wp:effectExtent l="0" t="0" r="0" b="0"/>
            <wp:wrapNone/>
            <wp:docPr id="185806117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l="-21" t="-21" r="-21" b="-21"/>
                    <a:stretch>
                      <a:fillRect/>
                    </a:stretch>
                  </pic:blipFill>
                  <pic:spPr>
                    <a:xfrm>
                      <a:off x="0" y="0"/>
                      <a:ext cx="1942465" cy="1892300"/>
                    </a:xfrm>
                    <a:prstGeom prst="rect">
                      <a:avLst/>
                    </a:prstGeom>
                    <a:ln/>
                  </pic:spPr>
                </pic:pic>
              </a:graphicData>
            </a:graphic>
          </wp:anchor>
        </w:drawing>
      </w:r>
    </w:p>
    <w:p w14:paraId="6DBD68F1" w14:textId="77777777" w:rsidR="000D15B2" w:rsidRDefault="000D15B2">
      <w:pPr>
        <w:spacing w:before="60"/>
        <w:jc w:val="right"/>
        <w:rPr>
          <w:rFonts w:ascii="Arial" w:eastAsia="Arial" w:hAnsi="Arial" w:cs="Arial"/>
          <w:sz w:val="22"/>
          <w:szCs w:val="22"/>
        </w:rPr>
      </w:pPr>
    </w:p>
    <w:p w14:paraId="166FE1EF" w14:textId="77777777" w:rsidR="000D15B2" w:rsidRDefault="000D15B2">
      <w:pPr>
        <w:spacing w:before="60"/>
        <w:jc w:val="right"/>
        <w:rPr>
          <w:rFonts w:ascii="Arial" w:eastAsia="Arial" w:hAnsi="Arial" w:cs="Arial"/>
          <w:sz w:val="22"/>
          <w:szCs w:val="22"/>
        </w:rPr>
      </w:pPr>
    </w:p>
    <w:p w14:paraId="5D3B5561" w14:textId="77777777" w:rsidR="000D15B2" w:rsidRDefault="000D15B2">
      <w:pPr>
        <w:spacing w:before="120" w:after="120"/>
        <w:jc w:val="right"/>
        <w:rPr>
          <w:rFonts w:ascii="Arial" w:eastAsia="Arial" w:hAnsi="Arial" w:cs="Arial"/>
          <w:sz w:val="22"/>
          <w:szCs w:val="22"/>
        </w:rPr>
      </w:pPr>
    </w:p>
    <w:p w14:paraId="484755FC" w14:textId="77777777" w:rsidR="000D15B2" w:rsidRDefault="000D15B2">
      <w:pPr>
        <w:tabs>
          <w:tab w:val="left" w:pos="8310"/>
        </w:tabs>
        <w:spacing w:before="120" w:after="120"/>
        <w:rPr>
          <w:rFonts w:ascii="Arial" w:eastAsia="Arial" w:hAnsi="Arial" w:cs="Arial"/>
        </w:rPr>
      </w:pPr>
    </w:p>
    <w:p w14:paraId="64940EF4" w14:textId="77777777" w:rsidR="004C131B" w:rsidRDefault="004C131B">
      <w:pPr>
        <w:spacing w:before="120" w:after="120"/>
        <w:jc w:val="right"/>
        <w:rPr>
          <w:rFonts w:ascii="Arial" w:eastAsia="Arial" w:hAnsi="Arial" w:cs="Arial"/>
          <w:sz w:val="22"/>
          <w:szCs w:val="22"/>
        </w:rPr>
      </w:pPr>
    </w:p>
    <w:p w14:paraId="4DA313BF" w14:textId="77777777" w:rsidR="00634ED5" w:rsidRDefault="00634ED5">
      <w:pPr>
        <w:spacing w:before="120" w:after="120"/>
        <w:jc w:val="right"/>
        <w:rPr>
          <w:rFonts w:ascii="Arial" w:eastAsia="Arial" w:hAnsi="Arial" w:cs="Arial"/>
          <w:sz w:val="22"/>
          <w:szCs w:val="22"/>
        </w:rPr>
      </w:pPr>
    </w:p>
    <w:p w14:paraId="55B4A072" w14:textId="7A13F2C4" w:rsidR="000D15B2" w:rsidRDefault="00DD7E57">
      <w:pPr>
        <w:spacing w:before="120" w:after="120"/>
        <w:jc w:val="right"/>
        <w:rPr>
          <w:rFonts w:ascii="Arial" w:eastAsia="Arial" w:hAnsi="Arial" w:cs="Arial"/>
          <w:sz w:val="22"/>
          <w:szCs w:val="22"/>
        </w:rPr>
      </w:pPr>
      <w:r>
        <w:rPr>
          <w:rFonts w:ascii="Arial" w:eastAsia="Arial" w:hAnsi="Arial" w:cs="Arial"/>
          <w:sz w:val="22"/>
          <w:szCs w:val="22"/>
        </w:rPr>
        <w:t>21</w:t>
      </w:r>
      <w:r w:rsidR="0070308D">
        <w:rPr>
          <w:rFonts w:ascii="Arial" w:eastAsia="Arial" w:hAnsi="Arial" w:cs="Arial"/>
          <w:sz w:val="22"/>
          <w:szCs w:val="22"/>
        </w:rPr>
        <w:t xml:space="preserve"> de </w:t>
      </w:r>
      <w:r w:rsidR="007F0AFD">
        <w:rPr>
          <w:rFonts w:ascii="Arial" w:eastAsia="Arial" w:hAnsi="Arial" w:cs="Arial"/>
          <w:sz w:val="22"/>
          <w:szCs w:val="22"/>
        </w:rPr>
        <w:t>Setiembre</w:t>
      </w:r>
      <w:r w:rsidR="0070308D">
        <w:rPr>
          <w:rFonts w:ascii="Arial" w:eastAsia="Arial" w:hAnsi="Arial" w:cs="Arial"/>
          <w:sz w:val="22"/>
          <w:szCs w:val="22"/>
        </w:rPr>
        <w:t xml:space="preserve"> de 2025 – Número 1.1</w:t>
      </w:r>
      <w:r>
        <w:rPr>
          <w:rFonts w:ascii="Arial" w:eastAsia="Arial" w:hAnsi="Arial" w:cs="Arial"/>
          <w:sz w:val="22"/>
          <w:szCs w:val="22"/>
        </w:rPr>
        <w:t>40</w:t>
      </w:r>
    </w:p>
    <w:p w14:paraId="0D7C1075" w14:textId="1F2B2D55" w:rsidR="000D15B2" w:rsidRPr="00CA4039" w:rsidRDefault="00A53963">
      <w:pPr>
        <w:spacing w:before="120"/>
        <w:rPr>
          <w:rFonts w:ascii="Arial" w:eastAsia="Arial" w:hAnsi="Arial" w:cs="Arial"/>
          <w:b/>
          <w:sz w:val="52"/>
          <w:szCs w:val="52"/>
        </w:rPr>
      </w:pPr>
      <w:r>
        <w:rPr>
          <w:rFonts w:ascii="Arial" w:eastAsia="Arial" w:hAnsi="Arial" w:cs="Arial"/>
          <w:b/>
          <w:sz w:val="52"/>
          <w:szCs w:val="52"/>
        </w:rPr>
        <w:t>SIN AUMENTO DE LA INFORMALIDAD, LA DESOCUPACIÓN SERÍA DE 23%</w:t>
      </w:r>
    </w:p>
    <w:p w14:paraId="6B900037" w14:textId="2460C34D" w:rsidR="000D15B2" w:rsidRDefault="00A53963">
      <w:pPr>
        <w:spacing w:before="120"/>
        <w:jc w:val="both"/>
        <w:rPr>
          <w:rFonts w:ascii="Garamond" w:eastAsia="Garamond" w:hAnsi="Garamond" w:cs="Garamond"/>
          <w:b/>
          <w:sz w:val="28"/>
          <w:szCs w:val="28"/>
        </w:rPr>
      </w:pPr>
      <w:r>
        <w:rPr>
          <w:rFonts w:ascii="Garamond" w:eastAsia="Garamond" w:hAnsi="Garamond" w:cs="Garamond"/>
          <w:b/>
          <w:sz w:val="28"/>
          <w:szCs w:val="28"/>
        </w:rPr>
        <w:t xml:space="preserve">En la última década hubo estancamiento </w:t>
      </w:r>
      <w:r w:rsidR="00E20AD6">
        <w:rPr>
          <w:rFonts w:ascii="Garamond" w:eastAsia="Garamond" w:hAnsi="Garamond" w:cs="Garamond"/>
          <w:b/>
          <w:sz w:val="28"/>
          <w:szCs w:val="28"/>
        </w:rPr>
        <w:t>productivo</w:t>
      </w:r>
      <w:r>
        <w:rPr>
          <w:rFonts w:ascii="Garamond" w:eastAsia="Garamond" w:hAnsi="Garamond" w:cs="Garamond"/>
          <w:b/>
          <w:sz w:val="28"/>
          <w:szCs w:val="28"/>
        </w:rPr>
        <w:t xml:space="preserve"> y del empleo formal</w:t>
      </w:r>
      <w:r w:rsidR="00CA4039">
        <w:rPr>
          <w:rFonts w:ascii="Garamond" w:eastAsia="Garamond" w:hAnsi="Garamond" w:cs="Garamond"/>
          <w:b/>
          <w:sz w:val="28"/>
          <w:szCs w:val="28"/>
        </w:rPr>
        <w:t>.</w:t>
      </w:r>
      <w:r>
        <w:rPr>
          <w:rFonts w:ascii="Garamond" w:eastAsia="Garamond" w:hAnsi="Garamond" w:cs="Garamond"/>
          <w:b/>
          <w:sz w:val="28"/>
          <w:szCs w:val="28"/>
        </w:rPr>
        <w:t xml:space="preserve"> De no haber sido por el </w:t>
      </w:r>
      <w:r w:rsidR="00353DC0">
        <w:rPr>
          <w:rFonts w:ascii="Garamond" w:eastAsia="Garamond" w:hAnsi="Garamond" w:cs="Garamond"/>
          <w:b/>
          <w:sz w:val="28"/>
          <w:szCs w:val="28"/>
        </w:rPr>
        <w:t>aumento</w:t>
      </w:r>
      <w:r>
        <w:rPr>
          <w:rFonts w:ascii="Garamond" w:eastAsia="Garamond" w:hAnsi="Garamond" w:cs="Garamond"/>
          <w:b/>
          <w:sz w:val="28"/>
          <w:szCs w:val="28"/>
        </w:rPr>
        <w:t xml:space="preserve"> de</w:t>
      </w:r>
      <w:r w:rsidR="00E20AD6">
        <w:rPr>
          <w:rFonts w:ascii="Garamond" w:eastAsia="Garamond" w:hAnsi="Garamond" w:cs="Garamond"/>
          <w:b/>
          <w:sz w:val="28"/>
          <w:szCs w:val="28"/>
        </w:rPr>
        <w:t xml:space="preserve">l empleo </w:t>
      </w:r>
      <w:r>
        <w:rPr>
          <w:rFonts w:ascii="Garamond" w:eastAsia="Garamond" w:hAnsi="Garamond" w:cs="Garamond"/>
          <w:b/>
          <w:sz w:val="28"/>
          <w:szCs w:val="28"/>
        </w:rPr>
        <w:t>informal, la tasa de desocu</w:t>
      </w:r>
      <w:r w:rsidR="00E20AD6">
        <w:rPr>
          <w:rFonts w:ascii="Garamond" w:eastAsia="Garamond" w:hAnsi="Garamond" w:cs="Garamond"/>
          <w:b/>
          <w:sz w:val="28"/>
          <w:szCs w:val="28"/>
        </w:rPr>
        <w:t>pación sería el triple de la</w:t>
      </w:r>
      <w:r>
        <w:rPr>
          <w:rFonts w:ascii="Garamond" w:eastAsia="Garamond" w:hAnsi="Garamond" w:cs="Garamond"/>
          <w:b/>
          <w:sz w:val="28"/>
          <w:szCs w:val="28"/>
        </w:rPr>
        <w:t xml:space="preserve"> que </w:t>
      </w:r>
      <w:r w:rsidR="00E20AD6">
        <w:rPr>
          <w:rFonts w:ascii="Garamond" w:eastAsia="Garamond" w:hAnsi="Garamond" w:cs="Garamond"/>
          <w:b/>
          <w:sz w:val="28"/>
          <w:szCs w:val="28"/>
        </w:rPr>
        <w:t>reporta el INDEC</w:t>
      </w:r>
      <w:r>
        <w:rPr>
          <w:rFonts w:ascii="Garamond" w:eastAsia="Garamond" w:hAnsi="Garamond" w:cs="Garamond"/>
          <w:b/>
          <w:sz w:val="28"/>
          <w:szCs w:val="28"/>
        </w:rPr>
        <w:t xml:space="preserve">. </w:t>
      </w:r>
      <w:r w:rsidR="00353DC0">
        <w:rPr>
          <w:rFonts w:ascii="Garamond" w:eastAsia="Garamond" w:hAnsi="Garamond" w:cs="Garamond"/>
          <w:b/>
          <w:sz w:val="28"/>
          <w:szCs w:val="28"/>
        </w:rPr>
        <w:t>Para revertir esta realidad, a</w:t>
      </w:r>
      <w:r>
        <w:rPr>
          <w:rFonts w:ascii="Garamond" w:eastAsia="Garamond" w:hAnsi="Garamond" w:cs="Garamond"/>
          <w:b/>
          <w:sz w:val="28"/>
          <w:szCs w:val="28"/>
        </w:rPr>
        <w:t>demás de crecimiento económico, se necesita modernizar la negociación colectiva y las justicias laborales</w:t>
      </w:r>
      <w:r w:rsidR="00E20AD6">
        <w:rPr>
          <w:rFonts w:ascii="Garamond" w:eastAsia="Garamond" w:hAnsi="Garamond" w:cs="Garamond"/>
          <w:b/>
          <w:sz w:val="28"/>
          <w:szCs w:val="28"/>
        </w:rPr>
        <w:t>.</w:t>
      </w:r>
      <w:r w:rsidR="00DD256C">
        <w:rPr>
          <w:rFonts w:ascii="Garamond" w:eastAsia="Garamond" w:hAnsi="Garamond" w:cs="Garamond"/>
          <w:b/>
          <w:sz w:val="28"/>
          <w:szCs w:val="28"/>
        </w:rPr>
        <w:t xml:space="preserve"> </w:t>
      </w:r>
    </w:p>
    <w:p w14:paraId="35AF1C7E" w14:textId="2D27CD0B" w:rsidR="00E51332" w:rsidRDefault="00E51332" w:rsidP="000A4E57">
      <w:pPr>
        <w:spacing w:before="120" w:after="120" w:line="300" w:lineRule="auto"/>
        <w:jc w:val="both"/>
        <w:rPr>
          <w:rFonts w:ascii="Arial" w:eastAsia="Arial" w:hAnsi="Arial" w:cs="Arial"/>
        </w:rPr>
      </w:pPr>
      <w:r>
        <w:rPr>
          <w:rFonts w:ascii="Arial" w:eastAsia="Arial" w:hAnsi="Arial" w:cs="Arial"/>
        </w:rPr>
        <w:t>Los datos del INDEC sobre el mercado laboral correspondientes al 2º trimestre del 2025 señalan que la ocupación total se mantuvo estable en 13,3 millones de personas en los grandes aglomerados urbanos con respecto al mismo período del año anterior</w:t>
      </w:r>
      <w:r w:rsidR="00B06D9E">
        <w:rPr>
          <w:rFonts w:ascii="Arial" w:eastAsia="Arial" w:hAnsi="Arial" w:cs="Arial"/>
        </w:rPr>
        <w:t>.</w:t>
      </w:r>
      <w:r>
        <w:rPr>
          <w:rFonts w:ascii="Arial" w:eastAsia="Arial" w:hAnsi="Arial" w:cs="Arial"/>
        </w:rPr>
        <w:t xml:space="preserve"> La tasa de desem</w:t>
      </w:r>
      <w:r w:rsidR="00E92D6A">
        <w:rPr>
          <w:rFonts w:ascii="Arial" w:eastAsia="Arial" w:hAnsi="Arial" w:cs="Arial"/>
        </w:rPr>
        <w:t xml:space="preserve">pleo también se mantuvo </w:t>
      </w:r>
      <w:r>
        <w:rPr>
          <w:rFonts w:ascii="Arial" w:eastAsia="Arial" w:hAnsi="Arial" w:cs="Arial"/>
        </w:rPr>
        <w:t xml:space="preserve">en 7,6% de la población activa </w:t>
      </w:r>
      <w:r w:rsidR="008E6917">
        <w:rPr>
          <w:rFonts w:ascii="Arial" w:eastAsia="Arial" w:hAnsi="Arial" w:cs="Arial"/>
        </w:rPr>
        <w:t xml:space="preserve">lo </w:t>
      </w:r>
      <w:r>
        <w:rPr>
          <w:rFonts w:ascii="Arial" w:eastAsia="Arial" w:hAnsi="Arial" w:cs="Arial"/>
        </w:rPr>
        <w:t>que equivale a 1 millón de personas sin trabajo que busca</w:t>
      </w:r>
      <w:r w:rsidR="008F0890">
        <w:rPr>
          <w:rFonts w:ascii="Arial" w:eastAsia="Arial" w:hAnsi="Arial" w:cs="Arial"/>
        </w:rPr>
        <w:t>n</w:t>
      </w:r>
      <w:r>
        <w:rPr>
          <w:rFonts w:ascii="Arial" w:eastAsia="Arial" w:hAnsi="Arial" w:cs="Arial"/>
        </w:rPr>
        <w:t xml:space="preserve"> activamente un empleo. </w:t>
      </w:r>
      <w:r w:rsidR="00E92D6A">
        <w:rPr>
          <w:rFonts w:ascii="Arial" w:eastAsia="Arial" w:hAnsi="Arial" w:cs="Arial"/>
        </w:rPr>
        <w:t xml:space="preserve">Si bien no se modificó la cantidad de ocupados, </w:t>
      </w:r>
      <w:r w:rsidR="00A01E52">
        <w:rPr>
          <w:rFonts w:ascii="Arial" w:eastAsia="Arial" w:hAnsi="Arial" w:cs="Arial"/>
        </w:rPr>
        <w:t>aumentaron la informalidad y la gente que estando ocupada busca trabajar más</w:t>
      </w:r>
      <w:r>
        <w:rPr>
          <w:rFonts w:ascii="Arial" w:eastAsia="Arial" w:hAnsi="Arial" w:cs="Arial"/>
        </w:rPr>
        <w:t>.</w:t>
      </w:r>
    </w:p>
    <w:p w14:paraId="7437F8D7" w14:textId="40079CA1" w:rsidR="00CC384C" w:rsidRDefault="00E92D6A" w:rsidP="000A4E57">
      <w:pPr>
        <w:spacing w:before="120" w:after="120" w:line="300" w:lineRule="auto"/>
        <w:jc w:val="both"/>
        <w:rPr>
          <w:rFonts w:ascii="Arial" w:eastAsia="Arial" w:hAnsi="Arial" w:cs="Arial"/>
        </w:rPr>
      </w:pPr>
      <w:r>
        <w:rPr>
          <w:rFonts w:ascii="Arial" w:eastAsia="Arial" w:hAnsi="Arial" w:cs="Arial"/>
        </w:rPr>
        <w:t>Según el INDEC</w:t>
      </w:r>
      <w:r w:rsidR="008F0890">
        <w:rPr>
          <w:rFonts w:ascii="Arial" w:eastAsia="Arial" w:hAnsi="Arial" w:cs="Arial"/>
        </w:rPr>
        <w:t>,</w:t>
      </w:r>
      <w:r>
        <w:rPr>
          <w:rFonts w:ascii="Arial" w:eastAsia="Arial" w:hAnsi="Arial" w:cs="Arial"/>
        </w:rPr>
        <w:t xml:space="preserve"> </w:t>
      </w:r>
      <w:r w:rsidR="005A3C38">
        <w:rPr>
          <w:rFonts w:ascii="Arial" w:eastAsia="Arial" w:hAnsi="Arial" w:cs="Arial"/>
        </w:rPr>
        <w:t>la tendencia de la economía es al estancamiento</w:t>
      </w:r>
      <w:r>
        <w:rPr>
          <w:rFonts w:ascii="Arial" w:eastAsia="Arial" w:hAnsi="Arial" w:cs="Arial"/>
        </w:rPr>
        <w:t xml:space="preserve"> y la inestabilidad financiera de las últimas semanas seguramente </w:t>
      </w:r>
      <w:r w:rsidR="005A3C38">
        <w:rPr>
          <w:rFonts w:ascii="Arial" w:eastAsia="Arial" w:hAnsi="Arial" w:cs="Arial"/>
        </w:rPr>
        <w:t>tendrá</w:t>
      </w:r>
      <w:r w:rsidR="00B21509">
        <w:rPr>
          <w:rFonts w:ascii="Arial" w:eastAsia="Arial" w:hAnsi="Arial" w:cs="Arial"/>
        </w:rPr>
        <w:t xml:space="preserve"> efectos </w:t>
      </w:r>
      <w:r>
        <w:rPr>
          <w:rFonts w:ascii="Arial" w:eastAsia="Arial" w:hAnsi="Arial" w:cs="Arial"/>
        </w:rPr>
        <w:t>negativ</w:t>
      </w:r>
      <w:r w:rsidR="00B21509">
        <w:rPr>
          <w:rFonts w:ascii="Arial" w:eastAsia="Arial" w:hAnsi="Arial" w:cs="Arial"/>
        </w:rPr>
        <w:t>os adicionales sobre</w:t>
      </w:r>
      <w:r>
        <w:rPr>
          <w:rFonts w:ascii="Arial" w:eastAsia="Arial" w:hAnsi="Arial" w:cs="Arial"/>
        </w:rPr>
        <w:t xml:space="preserve"> la </w:t>
      </w:r>
      <w:r w:rsidR="008F0890">
        <w:rPr>
          <w:rFonts w:ascii="Arial" w:eastAsia="Arial" w:hAnsi="Arial" w:cs="Arial"/>
        </w:rPr>
        <w:t>actividad</w:t>
      </w:r>
      <w:r>
        <w:rPr>
          <w:rFonts w:ascii="Arial" w:eastAsia="Arial" w:hAnsi="Arial" w:cs="Arial"/>
        </w:rPr>
        <w:t xml:space="preserve">. </w:t>
      </w:r>
      <w:r w:rsidR="00B21509">
        <w:rPr>
          <w:rFonts w:ascii="Arial" w:eastAsia="Arial" w:hAnsi="Arial" w:cs="Arial"/>
        </w:rPr>
        <w:t xml:space="preserve">Por lo tanto, </w:t>
      </w:r>
      <w:r w:rsidR="00B21509" w:rsidRPr="004A403D">
        <w:rPr>
          <w:rFonts w:ascii="Arial" w:eastAsia="Arial" w:hAnsi="Arial" w:cs="Arial"/>
          <w:b/>
        </w:rPr>
        <w:t xml:space="preserve">cabe esperar que el deterioro en el </w:t>
      </w:r>
      <w:r w:rsidRPr="004A403D">
        <w:rPr>
          <w:rFonts w:ascii="Arial" w:eastAsia="Arial" w:hAnsi="Arial" w:cs="Arial"/>
          <w:b/>
        </w:rPr>
        <w:t>mercado de trabajo</w:t>
      </w:r>
      <w:r w:rsidR="008F0890" w:rsidRPr="004A403D">
        <w:rPr>
          <w:rFonts w:ascii="Arial" w:eastAsia="Arial" w:hAnsi="Arial" w:cs="Arial"/>
          <w:b/>
        </w:rPr>
        <w:t xml:space="preserve"> se agrave</w:t>
      </w:r>
      <w:r>
        <w:rPr>
          <w:rFonts w:ascii="Arial" w:eastAsia="Arial" w:hAnsi="Arial" w:cs="Arial"/>
        </w:rPr>
        <w:t xml:space="preserve">. </w:t>
      </w:r>
      <w:r w:rsidR="00B21509">
        <w:rPr>
          <w:rFonts w:ascii="Arial" w:eastAsia="Arial" w:hAnsi="Arial" w:cs="Arial"/>
        </w:rPr>
        <w:t>Puede que este fenómeno se canalice a través de un aumento en la tasa de desocupación. Pero también puede ocurrir que ante el estancamiento o, pe</w:t>
      </w:r>
      <w:r w:rsidR="008E6917">
        <w:rPr>
          <w:rFonts w:ascii="Arial" w:eastAsia="Arial" w:hAnsi="Arial" w:cs="Arial"/>
        </w:rPr>
        <w:t>o</w:t>
      </w:r>
      <w:r w:rsidR="00B21509">
        <w:rPr>
          <w:rFonts w:ascii="Arial" w:eastAsia="Arial" w:hAnsi="Arial" w:cs="Arial"/>
        </w:rPr>
        <w:t xml:space="preserve">r </w:t>
      </w:r>
      <w:r w:rsidR="008E6917">
        <w:rPr>
          <w:rFonts w:ascii="Arial" w:eastAsia="Arial" w:hAnsi="Arial" w:cs="Arial"/>
        </w:rPr>
        <w:t>aún</w:t>
      </w:r>
      <w:r w:rsidR="00B21509">
        <w:rPr>
          <w:rFonts w:ascii="Arial" w:eastAsia="Arial" w:hAnsi="Arial" w:cs="Arial"/>
        </w:rPr>
        <w:t>, la destrucción de empleos de calidad, el balance en el mercado de trabajo cierre con aumentos en la informalidad</w:t>
      </w:r>
      <w:r w:rsidR="008E6917">
        <w:rPr>
          <w:rFonts w:ascii="Arial" w:eastAsia="Arial" w:hAnsi="Arial" w:cs="Arial"/>
        </w:rPr>
        <w:t>. Dentro de este concepto se</w:t>
      </w:r>
      <w:r w:rsidR="00B21509">
        <w:rPr>
          <w:rFonts w:ascii="Arial" w:eastAsia="Arial" w:hAnsi="Arial" w:cs="Arial"/>
        </w:rPr>
        <w:t xml:space="preserve"> incluyen</w:t>
      </w:r>
      <w:r w:rsidR="008F0890">
        <w:rPr>
          <w:rFonts w:ascii="Arial" w:eastAsia="Arial" w:hAnsi="Arial" w:cs="Arial"/>
        </w:rPr>
        <w:t>,</w:t>
      </w:r>
      <w:r w:rsidR="00B21509">
        <w:rPr>
          <w:rFonts w:ascii="Arial" w:eastAsia="Arial" w:hAnsi="Arial" w:cs="Arial"/>
        </w:rPr>
        <w:t xml:space="preserve"> no </w:t>
      </w:r>
      <w:r w:rsidR="00A01E52">
        <w:rPr>
          <w:rFonts w:ascii="Arial" w:eastAsia="Arial" w:hAnsi="Arial" w:cs="Arial"/>
        </w:rPr>
        <w:t>sólo a los asalariados no registrados y cuentapropistas sin registro, sino también a</w:t>
      </w:r>
      <w:r w:rsidR="00B21509">
        <w:rPr>
          <w:rFonts w:ascii="Arial" w:eastAsia="Arial" w:hAnsi="Arial" w:cs="Arial"/>
        </w:rPr>
        <w:t xml:space="preserve"> quienes tiene</w:t>
      </w:r>
      <w:r w:rsidR="008F0890">
        <w:rPr>
          <w:rFonts w:ascii="Arial" w:eastAsia="Arial" w:hAnsi="Arial" w:cs="Arial"/>
        </w:rPr>
        <w:t>n</w:t>
      </w:r>
      <w:r w:rsidR="00B21509">
        <w:rPr>
          <w:rFonts w:ascii="Arial" w:eastAsia="Arial" w:hAnsi="Arial" w:cs="Arial"/>
        </w:rPr>
        <w:t xml:space="preserve"> como </w:t>
      </w:r>
      <w:r w:rsidR="00C92783">
        <w:rPr>
          <w:rFonts w:ascii="Arial" w:eastAsia="Arial" w:hAnsi="Arial" w:cs="Arial"/>
        </w:rPr>
        <w:t xml:space="preserve">ocupación principal el Monotributo ya que, en general, son empleos de baja productividad y bajos ingresos. </w:t>
      </w:r>
      <w:r w:rsidR="00E51332">
        <w:rPr>
          <w:rFonts w:ascii="Arial" w:eastAsia="Arial" w:hAnsi="Arial" w:cs="Arial"/>
        </w:rPr>
        <w:t xml:space="preserve"> </w:t>
      </w:r>
    </w:p>
    <w:p w14:paraId="17703F8B" w14:textId="7F10B310" w:rsidR="000D15B2" w:rsidRDefault="000A67C3">
      <w:pPr>
        <w:spacing w:before="120" w:after="120" w:line="300" w:lineRule="auto"/>
        <w:jc w:val="both"/>
        <w:rPr>
          <w:rFonts w:ascii="Arial" w:eastAsia="Arial" w:hAnsi="Arial" w:cs="Arial"/>
        </w:rPr>
      </w:pPr>
      <w:r>
        <w:rPr>
          <w:rFonts w:ascii="Arial" w:eastAsia="Arial" w:hAnsi="Arial" w:cs="Arial"/>
        </w:rPr>
        <w:t xml:space="preserve">Es interesante observar la dinámica del </w:t>
      </w:r>
      <w:r w:rsidR="002513CB">
        <w:rPr>
          <w:rFonts w:ascii="Arial" w:eastAsia="Arial" w:hAnsi="Arial" w:cs="Arial"/>
        </w:rPr>
        <w:t>mercado laboral argentino en los últimos 10 años</w:t>
      </w:r>
      <w:r>
        <w:rPr>
          <w:rFonts w:ascii="Arial" w:eastAsia="Arial" w:hAnsi="Arial" w:cs="Arial"/>
        </w:rPr>
        <w:t xml:space="preserve"> donde </w:t>
      </w:r>
      <w:r w:rsidR="000046E0">
        <w:rPr>
          <w:rFonts w:ascii="Arial" w:eastAsia="Arial" w:hAnsi="Arial" w:cs="Arial"/>
        </w:rPr>
        <w:t xml:space="preserve">con vaivenes </w:t>
      </w:r>
      <w:r>
        <w:rPr>
          <w:rFonts w:ascii="Arial" w:eastAsia="Arial" w:hAnsi="Arial" w:cs="Arial"/>
        </w:rPr>
        <w:t xml:space="preserve">prevaleció el estancamiento </w:t>
      </w:r>
      <w:r w:rsidR="008F0890">
        <w:rPr>
          <w:rFonts w:ascii="Arial" w:eastAsia="Arial" w:hAnsi="Arial" w:cs="Arial"/>
        </w:rPr>
        <w:t>económico</w:t>
      </w:r>
      <w:r w:rsidR="002513CB">
        <w:rPr>
          <w:rFonts w:ascii="Arial" w:eastAsia="Arial" w:hAnsi="Arial" w:cs="Arial"/>
        </w:rPr>
        <w:t xml:space="preserve">. </w:t>
      </w:r>
      <w:r w:rsidR="008F0890">
        <w:rPr>
          <w:rFonts w:ascii="Arial" w:eastAsia="Arial" w:hAnsi="Arial" w:cs="Arial"/>
        </w:rPr>
        <w:t>Según</w:t>
      </w:r>
      <w:r w:rsidR="00B008D9">
        <w:rPr>
          <w:rFonts w:ascii="Arial" w:eastAsia="Arial" w:hAnsi="Arial" w:cs="Arial"/>
        </w:rPr>
        <w:t xml:space="preserve"> </w:t>
      </w:r>
      <w:r w:rsidR="005A3C38">
        <w:rPr>
          <w:rFonts w:ascii="Arial" w:eastAsia="Arial" w:hAnsi="Arial" w:cs="Arial"/>
        </w:rPr>
        <w:t>datos de</w:t>
      </w:r>
      <w:r>
        <w:rPr>
          <w:rFonts w:ascii="Arial" w:eastAsia="Arial" w:hAnsi="Arial" w:cs="Arial"/>
        </w:rPr>
        <w:t xml:space="preserve"> </w:t>
      </w:r>
      <w:r w:rsidR="002513CB">
        <w:rPr>
          <w:rFonts w:ascii="Arial" w:eastAsia="Arial" w:hAnsi="Arial" w:cs="Arial"/>
        </w:rPr>
        <w:t xml:space="preserve">la Secretaría de Trabajo </w:t>
      </w:r>
      <w:r>
        <w:rPr>
          <w:rFonts w:ascii="Arial" w:eastAsia="Arial" w:hAnsi="Arial" w:cs="Arial"/>
        </w:rPr>
        <w:t xml:space="preserve">y </w:t>
      </w:r>
      <w:r w:rsidR="004A403D">
        <w:rPr>
          <w:rFonts w:ascii="Arial" w:eastAsia="Arial" w:hAnsi="Arial" w:cs="Arial"/>
        </w:rPr>
        <w:t>d</w:t>
      </w:r>
      <w:r>
        <w:rPr>
          <w:rFonts w:ascii="Arial" w:eastAsia="Arial" w:hAnsi="Arial" w:cs="Arial"/>
        </w:rPr>
        <w:t xml:space="preserve">el </w:t>
      </w:r>
      <w:r w:rsidR="005A3C38">
        <w:rPr>
          <w:rFonts w:ascii="Arial" w:eastAsia="Arial" w:hAnsi="Arial" w:cs="Arial"/>
        </w:rPr>
        <w:t>Ministerio de Economía</w:t>
      </w:r>
      <w:r w:rsidR="008F0890">
        <w:rPr>
          <w:rFonts w:ascii="Arial" w:eastAsia="Arial" w:hAnsi="Arial" w:cs="Arial"/>
        </w:rPr>
        <w:t>, entre</w:t>
      </w:r>
      <w:r w:rsidR="00B008D9">
        <w:rPr>
          <w:rFonts w:ascii="Arial" w:eastAsia="Arial" w:hAnsi="Arial" w:cs="Arial"/>
        </w:rPr>
        <w:t xml:space="preserve"> los años</w:t>
      </w:r>
      <w:r w:rsidR="008F0890">
        <w:rPr>
          <w:rFonts w:ascii="Arial" w:eastAsia="Arial" w:hAnsi="Arial" w:cs="Arial"/>
        </w:rPr>
        <w:t xml:space="preserve"> </w:t>
      </w:r>
      <w:r w:rsidR="008F0890" w:rsidRPr="008F0890">
        <w:rPr>
          <w:rFonts w:ascii="Arial" w:eastAsia="Arial" w:hAnsi="Arial" w:cs="Arial"/>
          <w:b/>
          <w:bCs/>
        </w:rPr>
        <w:t>2015</w:t>
      </w:r>
      <w:r w:rsidR="008F0890" w:rsidRPr="00353DC0">
        <w:rPr>
          <w:rFonts w:ascii="Arial" w:eastAsia="Arial" w:hAnsi="Arial" w:cs="Arial"/>
          <w:b/>
          <w:bCs/>
        </w:rPr>
        <w:t xml:space="preserve"> </w:t>
      </w:r>
      <w:r w:rsidR="00B008D9">
        <w:rPr>
          <w:rFonts w:ascii="Arial" w:eastAsia="Arial" w:hAnsi="Arial" w:cs="Arial"/>
          <w:b/>
          <w:bCs/>
        </w:rPr>
        <w:t>y</w:t>
      </w:r>
      <w:r w:rsidR="00353DC0" w:rsidRPr="00353DC0">
        <w:rPr>
          <w:rFonts w:ascii="Arial" w:eastAsia="Arial" w:hAnsi="Arial" w:cs="Arial"/>
          <w:b/>
          <w:bCs/>
        </w:rPr>
        <w:t xml:space="preserve"> </w:t>
      </w:r>
      <w:r w:rsidR="008F0890" w:rsidRPr="008F0890">
        <w:rPr>
          <w:rFonts w:ascii="Arial" w:eastAsia="Arial" w:hAnsi="Arial" w:cs="Arial"/>
          <w:b/>
          <w:bCs/>
        </w:rPr>
        <w:t>2025</w:t>
      </w:r>
      <w:r w:rsidR="008E6917" w:rsidRPr="008E6917">
        <w:rPr>
          <w:rFonts w:ascii="Arial" w:eastAsia="Arial" w:hAnsi="Arial" w:cs="Arial"/>
        </w:rPr>
        <w:t>,</w:t>
      </w:r>
      <w:r w:rsidR="002513CB">
        <w:rPr>
          <w:rFonts w:ascii="Arial" w:eastAsia="Arial" w:hAnsi="Arial" w:cs="Arial"/>
        </w:rPr>
        <w:t xml:space="preserve"> se observa que</w:t>
      </w:r>
      <w:r w:rsidR="00611A40">
        <w:rPr>
          <w:rFonts w:ascii="Arial" w:eastAsia="Arial" w:hAnsi="Arial" w:cs="Arial"/>
        </w:rPr>
        <w:t xml:space="preserve">: </w:t>
      </w:r>
      <w:r w:rsidR="00627EEE">
        <w:rPr>
          <w:rFonts w:ascii="Arial" w:eastAsia="Arial" w:hAnsi="Arial" w:cs="Arial"/>
        </w:rPr>
        <w:t xml:space="preserve"> </w:t>
      </w:r>
    </w:p>
    <w:p w14:paraId="6CF0B9A2" w14:textId="7F7A7699" w:rsidR="00634ED5" w:rsidRPr="00634ED5" w:rsidRDefault="00634ED5" w:rsidP="00634ED5">
      <w:pPr>
        <w:numPr>
          <w:ilvl w:val="0"/>
          <w:numId w:val="1"/>
        </w:numPr>
        <w:spacing w:before="120" w:after="120" w:line="300" w:lineRule="auto"/>
        <w:jc w:val="both"/>
        <w:rPr>
          <w:rFonts w:ascii="Arial" w:eastAsia="Arial" w:hAnsi="Arial" w:cs="Arial"/>
        </w:rPr>
      </w:pPr>
      <w:r w:rsidRPr="00634ED5">
        <w:rPr>
          <w:rFonts w:ascii="Arial" w:eastAsia="Arial" w:hAnsi="Arial" w:cs="Arial"/>
        </w:rPr>
        <w:t xml:space="preserve">Los asalariados privados registrados se mantuvieron constantes en </w:t>
      </w:r>
      <w:r w:rsidRPr="00976E96">
        <w:rPr>
          <w:rFonts w:ascii="Arial" w:eastAsia="Arial" w:hAnsi="Arial" w:cs="Arial"/>
          <w:b/>
          <w:bCs/>
        </w:rPr>
        <w:t>6,2 millones</w:t>
      </w:r>
      <w:r w:rsidRPr="00634ED5">
        <w:rPr>
          <w:rFonts w:ascii="Arial" w:eastAsia="Arial" w:hAnsi="Arial" w:cs="Arial"/>
        </w:rPr>
        <w:t>.</w:t>
      </w:r>
    </w:p>
    <w:p w14:paraId="4AF21B84" w14:textId="24C349DD" w:rsidR="00634ED5" w:rsidRPr="00634ED5" w:rsidRDefault="00634ED5" w:rsidP="00634ED5">
      <w:pPr>
        <w:numPr>
          <w:ilvl w:val="0"/>
          <w:numId w:val="1"/>
        </w:numPr>
        <w:spacing w:before="120" w:after="120" w:line="300" w:lineRule="auto"/>
        <w:jc w:val="both"/>
        <w:rPr>
          <w:rFonts w:ascii="Arial" w:eastAsia="Arial" w:hAnsi="Arial" w:cs="Arial"/>
        </w:rPr>
      </w:pPr>
      <w:r w:rsidRPr="00634ED5">
        <w:rPr>
          <w:rFonts w:ascii="Arial" w:eastAsia="Arial" w:hAnsi="Arial" w:cs="Arial"/>
        </w:rPr>
        <w:t xml:space="preserve">Los desempleados pasaron de </w:t>
      </w:r>
      <w:r w:rsidRPr="00976E96">
        <w:rPr>
          <w:rFonts w:ascii="Arial" w:eastAsia="Arial" w:hAnsi="Arial" w:cs="Arial"/>
          <w:b/>
          <w:bCs/>
        </w:rPr>
        <w:t>1,1</w:t>
      </w:r>
      <w:r w:rsidRPr="00634ED5">
        <w:rPr>
          <w:rFonts w:ascii="Arial" w:eastAsia="Arial" w:hAnsi="Arial" w:cs="Arial"/>
        </w:rPr>
        <w:t xml:space="preserve"> a </w:t>
      </w:r>
      <w:r w:rsidRPr="00976E96">
        <w:rPr>
          <w:rFonts w:ascii="Arial" w:eastAsia="Arial" w:hAnsi="Arial" w:cs="Arial"/>
          <w:b/>
          <w:bCs/>
        </w:rPr>
        <w:t>1,6</w:t>
      </w:r>
      <w:r w:rsidRPr="00634ED5">
        <w:rPr>
          <w:rFonts w:ascii="Arial" w:eastAsia="Arial" w:hAnsi="Arial" w:cs="Arial"/>
        </w:rPr>
        <w:t xml:space="preserve"> millones.</w:t>
      </w:r>
    </w:p>
    <w:p w14:paraId="10BCD3FA" w14:textId="163E0F7D" w:rsidR="000D15B2" w:rsidRPr="0058775F" w:rsidRDefault="00634ED5" w:rsidP="00634ED5">
      <w:pPr>
        <w:numPr>
          <w:ilvl w:val="0"/>
          <w:numId w:val="1"/>
        </w:numPr>
        <w:spacing w:before="120" w:after="120" w:line="300" w:lineRule="auto"/>
        <w:jc w:val="both"/>
        <w:rPr>
          <w:rFonts w:ascii="Arial" w:eastAsia="Arial" w:hAnsi="Arial" w:cs="Arial"/>
        </w:rPr>
      </w:pPr>
      <w:r w:rsidRPr="00634ED5">
        <w:rPr>
          <w:rFonts w:ascii="Arial" w:eastAsia="Arial" w:hAnsi="Arial" w:cs="Arial"/>
        </w:rPr>
        <w:t>Los informales</w:t>
      </w:r>
      <w:r w:rsidR="00B008D9">
        <w:rPr>
          <w:rFonts w:ascii="Arial" w:eastAsia="Arial" w:hAnsi="Arial" w:cs="Arial"/>
        </w:rPr>
        <w:t>, definidos de manera amplia,</w:t>
      </w:r>
      <w:r w:rsidRPr="00634ED5">
        <w:rPr>
          <w:rFonts w:ascii="Arial" w:eastAsia="Arial" w:hAnsi="Arial" w:cs="Arial"/>
        </w:rPr>
        <w:t xml:space="preserve"> pasaron de </w:t>
      </w:r>
      <w:r w:rsidRPr="00976E96">
        <w:rPr>
          <w:rFonts w:ascii="Arial" w:eastAsia="Arial" w:hAnsi="Arial" w:cs="Arial"/>
          <w:b/>
          <w:bCs/>
        </w:rPr>
        <w:t>6</w:t>
      </w:r>
      <w:r w:rsidRPr="00634ED5">
        <w:rPr>
          <w:rFonts w:ascii="Arial" w:eastAsia="Arial" w:hAnsi="Arial" w:cs="Arial"/>
        </w:rPr>
        <w:t xml:space="preserve"> a </w:t>
      </w:r>
      <w:r w:rsidRPr="00976E96">
        <w:rPr>
          <w:rFonts w:ascii="Arial" w:eastAsia="Arial" w:hAnsi="Arial" w:cs="Arial"/>
          <w:b/>
          <w:bCs/>
        </w:rPr>
        <w:t>9</w:t>
      </w:r>
      <w:r w:rsidRPr="00634ED5">
        <w:rPr>
          <w:rFonts w:ascii="Arial" w:eastAsia="Arial" w:hAnsi="Arial" w:cs="Arial"/>
        </w:rPr>
        <w:t xml:space="preserve"> millones.</w:t>
      </w:r>
      <w:r w:rsidR="0070308D" w:rsidRPr="0058775F">
        <w:rPr>
          <w:rFonts w:ascii="Arial" w:eastAsia="Arial" w:hAnsi="Arial" w:cs="Arial"/>
        </w:rPr>
        <w:t xml:space="preserve"> </w:t>
      </w:r>
    </w:p>
    <w:p w14:paraId="5128ACB4" w14:textId="12911FBF" w:rsidR="00E97CA2" w:rsidRDefault="00B46CF1" w:rsidP="00634ED5">
      <w:pPr>
        <w:spacing w:before="120" w:after="120" w:line="300" w:lineRule="auto"/>
        <w:jc w:val="both"/>
        <w:rPr>
          <w:rFonts w:ascii="Arial" w:eastAsia="Arial" w:hAnsi="Arial" w:cs="Arial"/>
        </w:rPr>
      </w:pPr>
      <w:r w:rsidRPr="00B46CF1">
        <w:rPr>
          <w:rFonts w:ascii="Arial" w:eastAsia="Arial" w:hAnsi="Arial" w:cs="Arial"/>
        </w:rPr>
        <w:lastRenderedPageBreak/>
        <w:t>Estos datos muestran que</w:t>
      </w:r>
      <w:r w:rsidR="00D94BD1">
        <w:rPr>
          <w:rFonts w:ascii="Arial" w:eastAsia="Arial" w:hAnsi="Arial" w:cs="Arial"/>
        </w:rPr>
        <w:t xml:space="preserve"> </w:t>
      </w:r>
      <w:r w:rsidR="000A67C3">
        <w:rPr>
          <w:rFonts w:ascii="Arial" w:eastAsia="Arial" w:hAnsi="Arial" w:cs="Arial"/>
        </w:rPr>
        <w:t xml:space="preserve">en una década </w:t>
      </w:r>
      <w:r w:rsidR="00A833E5">
        <w:rPr>
          <w:rFonts w:ascii="Arial" w:eastAsia="Arial" w:hAnsi="Arial" w:cs="Arial"/>
        </w:rPr>
        <w:t>sin crecimiento</w:t>
      </w:r>
      <w:r w:rsidR="000A67C3">
        <w:rPr>
          <w:rFonts w:ascii="Arial" w:eastAsia="Arial" w:hAnsi="Arial" w:cs="Arial"/>
        </w:rPr>
        <w:t xml:space="preserve"> no hubo generación de empleos de calidad y el mercado de trabajo ajustó no tanto por aumento en el desempleo (</w:t>
      </w:r>
      <w:r w:rsidR="00634ED5">
        <w:rPr>
          <w:rFonts w:ascii="Arial" w:eastAsia="Arial" w:hAnsi="Arial" w:cs="Arial"/>
        </w:rPr>
        <w:t>500 mil personas</w:t>
      </w:r>
      <w:r w:rsidR="000A67C3">
        <w:rPr>
          <w:rFonts w:ascii="Arial" w:eastAsia="Arial" w:hAnsi="Arial" w:cs="Arial"/>
        </w:rPr>
        <w:t xml:space="preserve">) sino </w:t>
      </w:r>
      <w:r w:rsidR="00976E96">
        <w:rPr>
          <w:rFonts w:ascii="Arial" w:eastAsia="Arial" w:hAnsi="Arial" w:cs="Arial"/>
        </w:rPr>
        <w:t>por</w:t>
      </w:r>
      <w:r w:rsidR="000A67C3">
        <w:rPr>
          <w:rFonts w:ascii="Arial" w:eastAsia="Arial" w:hAnsi="Arial" w:cs="Arial"/>
        </w:rPr>
        <w:t xml:space="preserve"> fuerte expansión de </w:t>
      </w:r>
      <w:r w:rsidR="00976E96">
        <w:rPr>
          <w:rFonts w:ascii="Arial" w:eastAsia="Arial" w:hAnsi="Arial" w:cs="Arial"/>
        </w:rPr>
        <w:t>la informalidad</w:t>
      </w:r>
      <w:r w:rsidR="000A67C3">
        <w:rPr>
          <w:rFonts w:ascii="Arial" w:eastAsia="Arial" w:hAnsi="Arial" w:cs="Arial"/>
        </w:rPr>
        <w:t xml:space="preserve"> (3 millones </w:t>
      </w:r>
      <w:r w:rsidR="00976E96">
        <w:rPr>
          <w:rFonts w:ascii="Arial" w:eastAsia="Arial" w:hAnsi="Arial" w:cs="Arial"/>
        </w:rPr>
        <w:t>de personas</w:t>
      </w:r>
      <w:r w:rsidR="000A67C3">
        <w:rPr>
          <w:rFonts w:ascii="Arial" w:eastAsia="Arial" w:hAnsi="Arial" w:cs="Arial"/>
        </w:rPr>
        <w:t>)</w:t>
      </w:r>
      <w:r w:rsidR="00634ED5">
        <w:rPr>
          <w:rFonts w:ascii="Arial" w:eastAsia="Arial" w:hAnsi="Arial" w:cs="Arial"/>
        </w:rPr>
        <w:t xml:space="preserve">. </w:t>
      </w:r>
      <w:r w:rsidR="00634ED5" w:rsidRPr="004A403D">
        <w:rPr>
          <w:rFonts w:ascii="Arial" w:eastAsia="Arial" w:hAnsi="Arial" w:cs="Arial"/>
          <w:b/>
        </w:rPr>
        <w:t>Si</w:t>
      </w:r>
      <w:r w:rsidR="00976E96" w:rsidRPr="004A403D">
        <w:rPr>
          <w:rFonts w:ascii="Arial" w:eastAsia="Arial" w:hAnsi="Arial" w:cs="Arial"/>
          <w:b/>
        </w:rPr>
        <w:t xml:space="preserve"> en los últimos 10 años</w:t>
      </w:r>
      <w:r w:rsidR="00634ED5" w:rsidRPr="004A403D">
        <w:rPr>
          <w:rFonts w:ascii="Arial" w:eastAsia="Arial" w:hAnsi="Arial" w:cs="Arial"/>
          <w:b/>
        </w:rPr>
        <w:t xml:space="preserve"> la informalidad no hubiera crecido, la tasa de desempleo </w:t>
      </w:r>
      <w:r w:rsidR="000046E0" w:rsidRPr="004A403D">
        <w:rPr>
          <w:rFonts w:ascii="Arial" w:eastAsia="Arial" w:hAnsi="Arial" w:cs="Arial"/>
          <w:b/>
        </w:rPr>
        <w:t xml:space="preserve">sería </w:t>
      </w:r>
      <w:r w:rsidR="00634ED5" w:rsidRPr="004A403D">
        <w:rPr>
          <w:rFonts w:ascii="Arial" w:eastAsia="Arial" w:hAnsi="Arial" w:cs="Arial"/>
          <w:b/>
        </w:rPr>
        <w:t>de</w:t>
      </w:r>
      <w:r w:rsidR="00E97CA2" w:rsidRPr="004A403D">
        <w:rPr>
          <w:rFonts w:ascii="Arial" w:eastAsia="Arial" w:hAnsi="Arial" w:cs="Arial"/>
          <w:b/>
        </w:rPr>
        <w:t xml:space="preserve">l 23%, en lugar del </w:t>
      </w:r>
      <w:r w:rsidR="00634ED5" w:rsidRPr="004A403D">
        <w:rPr>
          <w:rFonts w:ascii="Arial" w:eastAsia="Arial" w:hAnsi="Arial" w:cs="Arial"/>
          <w:b/>
        </w:rPr>
        <w:t xml:space="preserve">7,6% </w:t>
      </w:r>
      <w:r w:rsidR="00E97CA2" w:rsidRPr="004A403D">
        <w:rPr>
          <w:rFonts w:ascii="Arial" w:eastAsia="Arial" w:hAnsi="Arial" w:cs="Arial"/>
          <w:b/>
        </w:rPr>
        <w:t>que reportó el INDEC</w:t>
      </w:r>
      <w:r w:rsidR="00E97CA2">
        <w:rPr>
          <w:rFonts w:ascii="Arial" w:eastAsia="Arial" w:hAnsi="Arial" w:cs="Arial"/>
        </w:rPr>
        <w:t>. Quiere decir que</w:t>
      </w:r>
      <w:r w:rsidR="00976E96">
        <w:rPr>
          <w:rFonts w:ascii="Arial" w:eastAsia="Arial" w:hAnsi="Arial" w:cs="Arial"/>
        </w:rPr>
        <w:t>,</w:t>
      </w:r>
      <w:r w:rsidR="00E97CA2">
        <w:rPr>
          <w:rFonts w:ascii="Arial" w:eastAsia="Arial" w:hAnsi="Arial" w:cs="Arial"/>
        </w:rPr>
        <w:t xml:space="preserve"> de no mediar e</w:t>
      </w:r>
      <w:r w:rsidR="00976E96">
        <w:rPr>
          <w:rFonts w:ascii="Arial" w:eastAsia="Arial" w:hAnsi="Arial" w:cs="Arial"/>
        </w:rPr>
        <w:t>l</w:t>
      </w:r>
      <w:r w:rsidR="00E97CA2">
        <w:rPr>
          <w:rFonts w:ascii="Arial" w:eastAsia="Arial" w:hAnsi="Arial" w:cs="Arial"/>
        </w:rPr>
        <w:t xml:space="preserve"> fuerte crecimiento </w:t>
      </w:r>
      <w:r w:rsidR="00976E96">
        <w:rPr>
          <w:rFonts w:ascii="Arial" w:eastAsia="Arial" w:hAnsi="Arial" w:cs="Arial"/>
        </w:rPr>
        <w:t>de la informalidad,</w:t>
      </w:r>
      <w:r w:rsidR="00E97CA2">
        <w:rPr>
          <w:rFonts w:ascii="Arial" w:eastAsia="Arial" w:hAnsi="Arial" w:cs="Arial"/>
        </w:rPr>
        <w:t xml:space="preserve"> la tasa de desempleo seria </w:t>
      </w:r>
      <w:r w:rsidR="00634ED5">
        <w:rPr>
          <w:rFonts w:ascii="Arial" w:eastAsia="Arial" w:hAnsi="Arial" w:cs="Arial"/>
        </w:rPr>
        <w:t xml:space="preserve">3 </w:t>
      </w:r>
      <w:r w:rsidR="00E97CA2">
        <w:rPr>
          <w:rFonts w:ascii="Arial" w:eastAsia="Arial" w:hAnsi="Arial" w:cs="Arial"/>
        </w:rPr>
        <w:t>veces más alta.</w:t>
      </w:r>
      <w:r w:rsidR="000046E0">
        <w:rPr>
          <w:rFonts w:ascii="Arial" w:eastAsia="Arial" w:hAnsi="Arial" w:cs="Arial"/>
        </w:rPr>
        <w:t xml:space="preserve"> </w:t>
      </w:r>
      <w:r w:rsidR="002A4830">
        <w:rPr>
          <w:rFonts w:ascii="Arial" w:eastAsia="Arial" w:hAnsi="Arial" w:cs="Arial"/>
        </w:rPr>
        <w:t>El deterioro labora</w:t>
      </w:r>
      <w:r w:rsidR="004A403D">
        <w:rPr>
          <w:rFonts w:ascii="Arial" w:eastAsia="Arial" w:hAnsi="Arial" w:cs="Arial"/>
        </w:rPr>
        <w:t>l</w:t>
      </w:r>
      <w:r w:rsidR="002A4830">
        <w:rPr>
          <w:rFonts w:ascii="Arial" w:eastAsia="Arial" w:hAnsi="Arial" w:cs="Arial"/>
        </w:rPr>
        <w:t xml:space="preserve"> no se manifiesta a través d</w:t>
      </w:r>
      <w:r w:rsidR="000046E0">
        <w:rPr>
          <w:rFonts w:ascii="Arial" w:eastAsia="Arial" w:hAnsi="Arial" w:cs="Arial"/>
        </w:rPr>
        <w:t xml:space="preserve">el desempleo </w:t>
      </w:r>
      <w:r w:rsidR="002A4830">
        <w:rPr>
          <w:rFonts w:ascii="Arial" w:eastAsia="Arial" w:hAnsi="Arial" w:cs="Arial"/>
        </w:rPr>
        <w:t xml:space="preserve">sino vía </w:t>
      </w:r>
      <w:r w:rsidR="00A02A94">
        <w:rPr>
          <w:rFonts w:ascii="Arial" w:eastAsia="Arial" w:hAnsi="Arial" w:cs="Arial"/>
        </w:rPr>
        <w:t xml:space="preserve">mayor </w:t>
      </w:r>
      <w:r w:rsidR="00976E96">
        <w:rPr>
          <w:rFonts w:ascii="Arial" w:eastAsia="Arial" w:hAnsi="Arial" w:cs="Arial"/>
        </w:rPr>
        <w:t>informalidad</w:t>
      </w:r>
      <w:r w:rsidR="00E97CA2">
        <w:rPr>
          <w:rFonts w:ascii="Arial" w:eastAsia="Arial" w:hAnsi="Arial" w:cs="Arial"/>
        </w:rPr>
        <w:t>.</w:t>
      </w:r>
    </w:p>
    <w:p w14:paraId="42320FAF" w14:textId="4EDBF5F6" w:rsidR="00EF4B9D" w:rsidRDefault="00E97CA2" w:rsidP="00634ED5">
      <w:pPr>
        <w:spacing w:before="120" w:after="120" w:line="300" w:lineRule="auto"/>
        <w:jc w:val="both"/>
        <w:rPr>
          <w:rFonts w:ascii="Arial" w:eastAsia="Arial" w:hAnsi="Arial" w:cs="Arial"/>
        </w:rPr>
      </w:pPr>
      <w:r>
        <w:rPr>
          <w:rFonts w:ascii="Arial" w:eastAsia="Arial" w:hAnsi="Arial" w:cs="Arial"/>
        </w:rPr>
        <w:t>El fenómeno se explica en parte por e</w:t>
      </w:r>
      <w:r w:rsidR="006A6324">
        <w:rPr>
          <w:rFonts w:ascii="Arial" w:eastAsia="Arial" w:hAnsi="Arial" w:cs="Arial"/>
        </w:rPr>
        <w:t xml:space="preserve">l estancamiento </w:t>
      </w:r>
      <w:r>
        <w:rPr>
          <w:rFonts w:ascii="Arial" w:eastAsia="Arial" w:hAnsi="Arial" w:cs="Arial"/>
        </w:rPr>
        <w:t>productivo (el PBI</w:t>
      </w:r>
      <w:r w:rsidR="006A6324">
        <w:rPr>
          <w:rFonts w:ascii="Arial" w:eastAsia="Arial" w:hAnsi="Arial" w:cs="Arial"/>
        </w:rPr>
        <w:t xml:space="preserve"> del 2025 es </w:t>
      </w:r>
      <w:r>
        <w:rPr>
          <w:rFonts w:ascii="Arial" w:eastAsia="Arial" w:hAnsi="Arial" w:cs="Arial"/>
        </w:rPr>
        <w:t xml:space="preserve">similar al del </w:t>
      </w:r>
      <w:r w:rsidR="006A6324">
        <w:rPr>
          <w:rFonts w:ascii="Arial" w:eastAsia="Arial" w:hAnsi="Arial" w:cs="Arial"/>
        </w:rPr>
        <w:t>2015</w:t>
      </w:r>
      <w:r>
        <w:rPr>
          <w:rFonts w:ascii="Arial" w:eastAsia="Arial" w:hAnsi="Arial" w:cs="Arial"/>
        </w:rPr>
        <w:t>)</w:t>
      </w:r>
      <w:r w:rsidR="00976E96">
        <w:rPr>
          <w:rFonts w:ascii="Arial" w:eastAsia="Arial" w:hAnsi="Arial" w:cs="Arial"/>
        </w:rPr>
        <w:t>.</w:t>
      </w:r>
      <w:r>
        <w:rPr>
          <w:rFonts w:ascii="Arial" w:eastAsia="Arial" w:hAnsi="Arial" w:cs="Arial"/>
        </w:rPr>
        <w:t xml:space="preserve"> </w:t>
      </w:r>
      <w:r w:rsidR="00976E96" w:rsidRPr="00E212FA">
        <w:rPr>
          <w:rFonts w:ascii="Arial" w:eastAsia="Arial" w:hAnsi="Arial" w:cs="Arial"/>
          <w:b/>
          <w:bCs/>
        </w:rPr>
        <w:t>P</w:t>
      </w:r>
      <w:r w:rsidRPr="00E212FA">
        <w:rPr>
          <w:rFonts w:ascii="Arial" w:eastAsia="Arial" w:hAnsi="Arial" w:cs="Arial"/>
          <w:b/>
          <w:bCs/>
        </w:rPr>
        <w:t xml:space="preserve">ero </w:t>
      </w:r>
      <w:r w:rsidR="006A6324" w:rsidRPr="00E212FA">
        <w:rPr>
          <w:rFonts w:ascii="Arial" w:eastAsia="Arial" w:hAnsi="Arial" w:cs="Arial"/>
          <w:b/>
          <w:bCs/>
        </w:rPr>
        <w:t xml:space="preserve">también </w:t>
      </w:r>
      <w:r w:rsidRPr="00E212FA">
        <w:rPr>
          <w:rFonts w:ascii="Arial" w:eastAsia="Arial" w:hAnsi="Arial" w:cs="Arial"/>
          <w:b/>
          <w:bCs/>
        </w:rPr>
        <w:t>por el</w:t>
      </w:r>
      <w:r w:rsidR="006A6324" w:rsidRPr="00E212FA">
        <w:rPr>
          <w:rFonts w:ascii="Arial" w:eastAsia="Arial" w:hAnsi="Arial" w:cs="Arial"/>
          <w:b/>
          <w:bCs/>
        </w:rPr>
        <w:t xml:space="preserve"> vetusto modelo de negociación colectiva</w:t>
      </w:r>
      <w:r w:rsidR="006A6324">
        <w:rPr>
          <w:rFonts w:ascii="Arial" w:eastAsia="Arial" w:hAnsi="Arial" w:cs="Arial"/>
        </w:rPr>
        <w:t xml:space="preserve">. </w:t>
      </w:r>
      <w:r w:rsidR="00032067">
        <w:rPr>
          <w:rFonts w:ascii="Arial" w:eastAsia="Arial" w:hAnsi="Arial" w:cs="Arial"/>
        </w:rPr>
        <w:t>En amplios sectores</w:t>
      </w:r>
      <w:r w:rsidR="00976E96">
        <w:rPr>
          <w:rFonts w:ascii="Arial" w:eastAsia="Arial" w:hAnsi="Arial" w:cs="Arial"/>
        </w:rPr>
        <w:t xml:space="preserve"> de la economía</w:t>
      </w:r>
      <w:r w:rsidR="00032067">
        <w:rPr>
          <w:rFonts w:ascii="Arial" w:eastAsia="Arial" w:hAnsi="Arial" w:cs="Arial"/>
        </w:rPr>
        <w:t xml:space="preserve"> se siguen aplicando </w:t>
      </w:r>
      <w:r w:rsidR="006A6324">
        <w:rPr>
          <w:rFonts w:ascii="Arial" w:eastAsia="Arial" w:hAnsi="Arial" w:cs="Arial"/>
        </w:rPr>
        <w:t>convenios</w:t>
      </w:r>
      <w:r w:rsidR="00976E96">
        <w:rPr>
          <w:rFonts w:ascii="Arial" w:eastAsia="Arial" w:hAnsi="Arial" w:cs="Arial"/>
        </w:rPr>
        <w:t xml:space="preserve"> colectivos</w:t>
      </w:r>
      <w:r w:rsidR="006A6324">
        <w:rPr>
          <w:rFonts w:ascii="Arial" w:eastAsia="Arial" w:hAnsi="Arial" w:cs="Arial"/>
        </w:rPr>
        <w:t xml:space="preserve"> negociados en 1975 y entre 1987/1988</w:t>
      </w:r>
      <w:r w:rsidR="00032067">
        <w:rPr>
          <w:rFonts w:ascii="Arial" w:eastAsia="Arial" w:hAnsi="Arial" w:cs="Arial"/>
        </w:rPr>
        <w:t xml:space="preserve">. </w:t>
      </w:r>
      <w:r w:rsidR="007D77CE">
        <w:rPr>
          <w:rFonts w:ascii="Arial" w:eastAsia="Arial" w:hAnsi="Arial" w:cs="Arial"/>
        </w:rPr>
        <w:t xml:space="preserve">Se actualizaron las grillas de remuneraciones, pero el resto de las cuestiones centrales siguen petrificadas. No hay </w:t>
      </w:r>
      <w:r w:rsidR="006A6324">
        <w:rPr>
          <w:rFonts w:ascii="Arial" w:eastAsia="Arial" w:hAnsi="Arial" w:cs="Arial"/>
        </w:rPr>
        <w:t>“negociación colectiva”</w:t>
      </w:r>
      <w:r w:rsidR="00976E96">
        <w:rPr>
          <w:rFonts w:ascii="Arial" w:eastAsia="Arial" w:hAnsi="Arial" w:cs="Arial"/>
        </w:rPr>
        <w:t>. Lo que hay es</w:t>
      </w:r>
      <w:r w:rsidR="007D77CE">
        <w:rPr>
          <w:rFonts w:ascii="Arial" w:eastAsia="Arial" w:hAnsi="Arial" w:cs="Arial"/>
        </w:rPr>
        <w:t xml:space="preserve"> </w:t>
      </w:r>
      <w:r w:rsidR="006A6324">
        <w:rPr>
          <w:rFonts w:ascii="Arial" w:eastAsia="Arial" w:hAnsi="Arial" w:cs="Arial"/>
        </w:rPr>
        <w:t>“discusión paritaria”</w:t>
      </w:r>
      <w:r w:rsidR="007D77CE">
        <w:rPr>
          <w:rFonts w:ascii="Arial" w:eastAsia="Arial" w:hAnsi="Arial" w:cs="Arial"/>
        </w:rPr>
        <w:t xml:space="preserve"> para ajustar salarios</w:t>
      </w:r>
      <w:r w:rsidR="00976E96">
        <w:rPr>
          <w:rFonts w:ascii="Arial" w:eastAsia="Arial" w:hAnsi="Arial" w:cs="Arial"/>
        </w:rPr>
        <w:t xml:space="preserve"> por inflación</w:t>
      </w:r>
      <w:r w:rsidR="007D77CE">
        <w:rPr>
          <w:rFonts w:ascii="Arial" w:eastAsia="Arial" w:hAnsi="Arial" w:cs="Arial"/>
        </w:rPr>
        <w:t>. La</w:t>
      </w:r>
      <w:r w:rsidR="006A6324">
        <w:rPr>
          <w:rFonts w:ascii="Arial" w:eastAsia="Arial" w:hAnsi="Arial" w:cs="Arial"/>
        </w:rPr>
        <w:t xml:space="preserve">s </w:t>
      </w:r>
      <w:r w:rsidR="007D77CE">
        <w:rPr>
          <w:rFonts w:ascii="Arial" w:eastAsia="Arial" w:hAnsi="Arial" w:cs="Arial"/>
        </w:rPr>
        <w:t xml:space="preserve">demás reglas </w:t>
      </w:r>
      <w:r w:rsidR="00976E96">
        <w:rPr>
          <w:rFonts w:ascii="Arial" w:eastAsia="Arial" w:hAnsi="Arial" w:cs="Arial"/>
        </w:rPr>
        <w:t>de los convenios colectivos</w:t>
      </w:r>
      <w:r w:rsidR="007D77CE">
        <w:rPr>
          <w:rFonts w:ascii="Arial" w:eastAsia="Arial" w:hAnsi="Arial" w:cs="Arial"/>
        </w:rPr>
        <w:t xml:space="preserve"> se prorrogan indefinidamente (</w:t>
      </w:r>
      <w:r w:rsidR="006A6324">
        <w:rPr>
          <w:rFonts w:ascii="Arial" w:eastAsia="Arial" w:hAnsi="Arial" w:cs="Arial"/>
        </w:rPr>
        <w:t>ultraactividad</w:t>
      </w:r>
      <w:r w:rsidR="007D77CE">
        <w:rPr>
          <w:rFonts w:ascii="Arial" w:eastAsia="Arial" w:hAnsi="Arial" w:cs="Arial"/>
        </w:rPr>
        <w:t xml:space="preserve">) </w:t>
      </w:r>
      <w:r w:rsidR="00EF4B9D">
        <w:rPr>
          <w:rFonts w:ascii="Arial" w:eastAsia="Arial" w:hAnsi="Arial" w:cs="Arial"/>
        </w:rPr>
        <w:t xml:space="preserve">y los empleadores y trabajadores del sector no pueden dejar de aplicarlos, aun cuando no pertenezcan a la cámara y al sindicato firmantes. </w:t>
      </w:r>
    </w:p>
    <w:p w14:paraId="2EF89657" w14:textId="5C217A3D" w:rsidR="000C68BD" w:rsidRDefault="007D77CE" w:rsidP="00634ED5">
      <w:pPr>
        <w:spacing w:before="120" w:after="120" w:line="300" w:lineRule="auto"/>
        <w:jc w:val="both"/>
        <w:rPr>
          <w:rFonts w:ascii="Arial" w:eastAsia="Arial" w:hAnsi="Arial" w:cs="Arial"/>
        </w:rPr>
      </w:pPr>
      <w:r w:rsidRPr="004A403D">
        <w:rPr>
          <w:rFonts w:ascii="Arial" w:eastAsia="Arial" w:hAnsi="Arial" w:cs="Arial"/>
          <w:b/>
        </w:rPr>
        <w:t xml:space="preserve">La </w:t>
      </w:r>
      <w:r w:rsidR="002A4830" w:rsidRPr="004A403D">
        <w:rPr>
          <w:rFonts w:ascii="Arial" w:eastAsia="Arial" w:hAnsi="Arial" w:cs="Arial"/>
          <w:b/>
        </w:rPr>
        <w:t xml:space="preserve">ausencia </w:t>
      </w:r>
      <w:r w:rsidR="003A0AFA" w:rsidRPr="004A403D">
        <w:rPr>
          <w:rFonts w:ascii="Arial" w:eastAsia="Arial" w:hAnsi="Arial" w:cs="Arial"/>
          <w:b/>
        </w:rPr>
        <w:t>de</w:t>
      </w:r>
      <w:r w:rsidRPr="004A403D">
        <w:rPr>
          <w:rFonts w:ascii="Arial" w:eastAsia="Arial" w:hAnsi="Arial" w:cs="Arial"/>
          <w:b/>
        </w:rPr>
        <w:t xml:space="preserve"> negociación colectiva </w:t>
      </w:r>
      <w:r w:rsidR="003A0AFA" w:rsidRPr="004A403D">
        <w:rPr>
          <w:rFonts w:ascii="Arial" w:eastAsia="Arial" w:hAnsi="Arial" w:cs="Arial"/>
          <w:b/>
        </w:rPr>
        <w:t>no permite la</w:t>
      </w:r>
      <w:r w:rsidRPr="004A403D">
        <w:rPr>
          <w:rFonts w:ascii="Arial" w:eastAsia="Arial" w:hAnsi="Arial" w:cs="Arial"/>
          <w:b/>
        </w:rPr>
        <w:t xml:space="preserve"> adaptación de</w:t>
      </w:r>
      <w:r w:rsidR="003A0AFA" w:rsidRPr="004A403D">
        <w:rPr>
          <w:rFonts w:ascii="Arial" w:eastAsia="Arial" w:hAnsi="Arial" w:cs="Arial"/>
          <w:b/>
        </w:rPr>
        <w:t xml:space="preserve"> los empleos a la modernidad</w:t>
      </w:r>
      <w:r w:rsidR="003A0AFA">
        <w:rPr>
          <w:rFonts w:ascii="Arial" w:eastAsia="Arial" w:hAnsi="Arial" w:cs="Arial"/>
        </w:rPr>
        <w:t>.</w:t>
      </w:r>
      <w:r>
        <w:rPr>
          <w:rFonts w:ascii="Arial" w:eastAsia="Arial" w:hAnsi="Arial" w:cs="Arial"/>
        </w:rPr>
        <w:t xml:space="preserve"> </w:t>
      </w:r>
      <w:r w:rsidR="00A833E5">
        <w:rPr>
          <w:rFonts w:ascii="Arial" w:eastAsia="Arial" w:hAnsi="Arial" w:cs="Arial"/>
        </w:rPr>
        <w:t>A modo de</w:t>
      </w:r>
      <w:r w:rsidR="00CC79F9">
        <w:rPr>
          <w:rFonts w:ascii="Arial" w:eastAsia="Arial" w:hAnsi="Arial" w:cs="Arial"/>
        </w:rPr>
        <w:t xml:space="preserve"> ejemplo, cuando se firmaron los </w:t>
      </w:r>
      <w:r w:rsidR="003A0AFA">
        <w:rPr>
          <w:rFonts w:ascii="Arial" w:eastAsia="Arial" w:hAnsi="Arial" w:cs="Arial"/>
        </w:rPr>
        <w:t xml:space="preserve">actuales </w:t>
      </w:r>
      <w:r w:rsidR="00CC79F9">
        <w:rPr>
          <w:rFonts w:ascii="Arial" w:eastAsia="Arial" w:hAnsi="Arial" w:cs="Arial"/>
        </w:rPr>
        <w:t>convenios</w:t>
      </w:r>
      <w:r w:rsidR="003A0AFA">
        <w:rPr>
          <w:rFonts w:ascii="Arial" w:eastAsia="Arial" w:hAnsi="Arial" w:cs="Arial"/>
        </w:rPr>
        <w:t xml:space="preserve"> colectivos</w:t>
      </w:r>
      <w:r w:rsidR="00CC79F9">
        <w:rPr>
          <w:rFonts w:ascii="Arial" w:eastAsia="Arial" w:hAnsi="Arial" w:cs="Arial"/>
        </w:rPr>
        <w:t xml:space="preserve"> no</w:t>
      </w:r>
      <w:r w:rsidR="003A0AFA">
        <w:rPr>
          <w:rFonts w:ascii="Arial" w:eastAsia="Arial" w:hAnsi="Arial" w:cs="Arial"/>
        </w:rPr>
        <w:t xml:space="preserve"> se usaban computadoras, no</w:t>
      </w:r>
      <w:r w:rsidR="00CC79F9">
        <w:rPr>
          <w:rFonts w:ascii="Arial" w:eastAsia="Arial" w:hAnsi="Arial" w:cs="Arial"/>
        </w:rPr>
        <w:t xml:space="preserve"> existía Internet</w:t>
      </w:r>
      <w:r w:rsidR="003A0AFA">
        <w:rPr>
          <w:rFonts w:ascii="Arial" w:eastAsia="Arial" w:hAnsi="Arial" w:cs="Arial"/>
        </w:rPr>
        <w:t xml:space="preserve">, ni celulares, ni </w:t>
      </w:r>
      <w:r w:rsidR="00A833E5">
        <w:rPr>
          <w:rFonts w:ascii="Arial" w:eastAsia="Arial" w:hAnsi="Arial" w:cs="Arial"/>
        </w:rPr>
        <w:t>W</w:t>
      </w:r>
      <w:r w:rsidR="003A0AFA">
        <w:rPr>
          <w:rFonts w:ascii="Arial" w:eastAsia="Arial" w:hAnsi="Arial" w:cs="Arial"/>
        </w:rPr>
        <w:t>hats</w:t>
      </w:r>
      <w:r w:rsidR="00A833E5">
        <w:rPr>
          <w:rFonts w:ascii="Arial" w:eastAsia="Arial" w:hAnsi="Arial" w:cs="Arial"/>
        </w:rPr>
        <w:t>A</w:t>
      </w:r>
      <w:r w:rsidR="003A0AFA">
        <w:rPr>
          <w:rFonts w:ascii="Arial" w:eastAsia="Arial" w:hAnsi="Arial" w:cs="Arial"/>
        </w:rPr>
        <w:t>pp.</w:t>
      </w:r>
      <w:r w:rsidR="00CC79F9">
        <w:rPr>
          <w:rFonts w:ascii="Arial" w:eastAsia="Arial" w:hAnsi="Arial" w:cs="Arial"/>
        </w:rPr>
        <w:t xml:space="preserve"> Una situación muy ilustrativa </w:t>
      </w:r>
      <w:r w:rsidR="003A0AFA">
        <w:rPr>
          <w:rFonts w:ascii="Arial" w:eastAsia="Arial" w:hAnsi="Arial" w:cs="Arial"/>
        </w:rPr>
        <w:t>de cómo esto impide el cambio es</w:t>
      </w:r>
      <w:r w:rsidR="00CC79F9">
        <w:rPr>
          <w:rFonts w:ascii="Arial" w:eastAsia="Arial" w:hAnsi="Arial" w:cs="Arial"/>
        </w:rPr>
        <w:t xml:space="preserve"> con la reforma</w:t>
      </w:r>
      <w:r w:rsidR="003A0AFA">
        <w:rPr>
          <w:rFonts w:ascii="Arial" w:eastAsia="Arial" w:hAnsi="Arial" w:cs="Arial"/>
        </w:rPr>
        <w:t xml:space="preserve"> laboral del gobierno</w:t>
      </w:r>
      <w:r w:rsidR="00CC79F9">
        <w:rPr>
          <w:rFonts w:ascii="Arial" w:eastAsia="Arial" w:hAnsi="Arial" w:cs="Arial"/>
        </w:rPr>
        <w:t xml:space="preserve"> que </w:t>
      </w:r>
      <w:r w:rsidR="00A833E5">
        <w:rPr>
          <w:rFonts w:ascii="Arial" w:eastAsia="Arial" w:hAnsi="Arial" w:cs="Arial"/>
        </w:rPr>
        <w:t xml:space="preserve">se </w:t>
      </w:r>
      <w:r w:rsidR="00CC79F9">
        <w:rPr>
          <w:rFonts w:ascii="Arial" w:eastAsia="Arial" w:hAnsi="Arial" w:cs="Arial"/>
        </w:rPr>
        <w:t xml:space="preserve">aprobó </w:t>
      </w:r>
      <w:r w:rsidR="00A833E5">
        <w:rPr>
          <w:rFonts w:ascii="Arial" w:eastAsia="Arial" w:hAnsi="Arial" w:cs="Arial"/>
        </w:rPr>
        <w:t xml:space="preserve">en </w:t>
      </w:r>
      <w:r w:rsidR="00CC79F9">
        <w:rPr>
          <w:rFonts w:ascii="Arial" w:eastAsia="Arial" w:hAnsi="Arial" w:cs="Arial"/>
        </w:rPr>
        <w:t>el Congreso</w:t>
      </w:r>
      <w:r w:rsidR="00A833E5">
        <w:rPr>
          <w:rFonts w:ascii="Arial" w:eastAsia="Arial" w:hAnsi="Arial" w:cs="Arial"/>
        </w:rPr>
        <w:t>. En esta ley se da</w:t>
      </w:r>
      <w:r w:rsidR="003A0AFA">
        <w:rPr>
          <w:rFonts w:ascii="Arial" w:eastAsia="Arial" w:hAnsi="Arial" w:cs="Arial"/>
        </w:rPr>
        <w:t xml:space="preserve"> la posibilidad de</w:t>
      </w:r>
      <w:r w:rsidR="00CC79F9">
        <w:rPr>
          <w:rFonts w:ascii="Arial" w:eastAsia="Arial" w:hAnsi="Arial" w:cs="Arial"/>
        </w:rPr>
        <w:t xml:space="preserve"> </w:t>
      </w:r>
      <w:r w:rsidR="000C68BD">
        <w:rPr>
          <w:rFonts w:ascii="Arial" w:eastAsia="Arial" w:hAnsi="Arial" w:cs="Arial"/>
        </w:rPr>
        <w:t xml:space="preserve">reemplazar la indemnización por despido por un fondo de cese laboral. Esto es, el empleador aporta mensualmente un porcentaje del salario a un fondo que el trabajador se lleva cuando finaliza el vínculo laboral. </w:t>
      </w:r>
      <w:r w:rsidR="00CC79F9">
        <w:rPr>
          <w:rFonts w:ascii="Arial" w:eastAsia="Arial" w:hAnsi="Arial" w:cs="Arial"/>
        </w:rPr>
        <w:t>En la práctica</w:t>
      </w:r>
      <w:r w:rsidR="003A0AFA">
        <w:rPr>
          <w:rFonts w:ascii="Arial" w:eastAsia="Arial" w:hAnsi="Arial" w:cs="Arial"/>
        </w:rPr>
        <w:t>,</w:t>
      </w:r>
      <w:r w:rsidR="00CC79F9">
        <w:rPr>
          <w:rFonts w:ascii="Arial" w:eastAsia="Arial" w:hAnsi="Arial" w:cs="Arial"/>
        </w:rPr>
        <w:t xml:space="preserve"> el esquema no </w:t>
      </w:r>
      <w:r w:rsidR="002A667A">
        <w:rPr>
          <w:rFonts w:ascii="Arial" w:eastAsia="Arial" w:hAnsi="Arial" w:cs="Arial"/>
        </w:rPr>
        <w:t xml:space="preserve">se aplica </w:t>
      </w:r>
      <w:r w:rsidR="00CC79F9">
        <w:rPr>
          <w:rFonts w:ascii="Arial" w:eastAsia="Arial" w:hAnsi="Arial" w:cs="Arial"/>
        </w:rPr>
        <w:t>porque</w:t>
      </w:r>
      <w:r w:rsidR="008E6917">
        <w:rPr>
          <w:rFonts w:ascii="Arial" w:eastAsia="Arial" w:hAnsi="Arial" w:cs="Arial"/>
        </w:rPr>
        <w:t>,</w:t>
      </w:r>
      <w:r w:rsidR="00CC79F9">
        <w:rPr>
          <w:rFonts w:ascii="Arial" w:eastAsia="Arial" w:hAnsi="Arial" w:cs="Arial"/>
        </w:rPr>
        <w:t xml:space="preserve"> </w:t>
      </w:r>
      <w:r w:rsidR="000046E0">
        <w:rPr>
          <w:rFonts w:ascii="Arial" w:eastAsia="Arial" w:hAnsi="Arial" w:cs="Arial"/>
        </w:rPr>
        <w:t>sin</w:t>
      </w:r>
      <w:r w:rsidR="00CC79F9">
        <w:rPr>
          <w:rFonts w:ascii="Arial" w:eastAsia="Arial" w:hAnsi="Arial" w:cs="Arial"/>
        </w:rPr>
        <w:t xml:space="preserve"> negociación colectiva</w:t>
      </w:r>
      <w:r w:rsidR="008E6917">
        <w:rPr>
          <w:rFonts w:ascii="Arial" w:eastAsia="Arial" w:hAnsi="Arial" w:cs="Arial"/>
        </w:rPr>
        <w:t>,</w:t>
      </w:r>
      <w:r w:rsidR="00CC79F9">
        <w:rPr>
          <w:rFonts w:ascii="Arial" w:eastAsia="Arial" w:hAnsi="Arial" w:cs="Arial"/>
        </w:rPr>
        <w:t xml:space="preserve"> no </w:t>
      </w:r>
      <w:r w:rsidR="000046E0">
        <w:rPr>
          <w:rFonts w:ascii="Arial" w:eastAsia="Arial" w:hAnsi="Arial" w:cs="Arial"/>
        </w:rPr>
        <w:t>se puede</w:t>
      </w:r>
      <w:r w:rsidR="00CC79F9">
        <w:rPr>
          <w:rFonts w:ascii="Arial" w:eastAsia="Arial" w:hAnsi="Arial" w:cs="Arial"/>
        </w:rPr>
        <w:t xml:space="preserve"> instrumentar. </w:t>
      </w:r>
    </w:p>
    <w:p w14:paraId="15F71DA4" w14:textId="23C4CE31" w:rsidR="003C24E2" w:rsidRDefault="00CC79F9" w:rsidP="00634ED5">
      <w:pPr>
        <w:spacing w:before="120" w:after="120" w:line="300" w:lineRule="auto"/>
        <w:jc w:val="both"/>
        <w:rPr>
          <w:rFonts w:ascii="Arial" w:eastAsia="Arial" w:hAnsi="Arial" w:cs="Arial"/>
        </w:rPr>
      </w:pPr>
      <w:r w:rsidRPr="00E212FA">
        <w:rPr>
          <w:rFonts w:ascii="Arial" w:eastAsia="Arial" w:hAnsi="Arial" w:cs="Arial"/>
          <w:b/>
          <w:bCs/>
        </w:rPr>
        <w:t xml:space="preserve">También es importante el acompañamiento de </w:t>
      </w:r>
      <w:r w:rsidR="00643534" w:rsidRPr="00E212FA">
        <w:rPr>
          <w:rFonts w:ascii="Arial" w:eastAsia="Arial" w:hAnsi="Arial" w:cs="Arial"/>
          <w:b/>
          <w:bCs/>
        </w:rPr>
        <w:t>las provincias.</w:t>
      </w:r>
      <w:r w:rsidR="00643534">
        <w:rPr>
          <w:rFonts w:ascii="Arial" w:eastAsia="Arial" w:hAnsi="Arial" w:cs="Arial"/>
        </w:rPr>
        <w:t xml:space="preserve"> Si bien la normativa </w:t>
      </w:r>
      <w:r>
        <w:rPr>
          <w:rFonts w:ascii="Arial" w:eastAsia="Arial" w:hAnsi="Arial" w:cs="Arial"/>
        </w:rPr>
        <w:t>laboral es</w:t>
      </w:r>
      <w:r w:rsidR="00643534">
        <w:rPr>
          <w:rFonts w:ascii="Arial" w:eastAsia="Arial" w:hAnsi="Arial" w:cs="Arial"/>
        </w:rPr>
        <w:t xml:space="preserve"> nacional, su aplicación </w:t>
      </w:r>
      <w:r w:rsidR="000046E0">
        <w:rPr>
          <w:rFonts w:ascii="Arial" w:eastAsia="Arial" w:hAnsi="Arial" w:cs="Arial"/>
        </w:rPr>
        <w:t xml:space="preserve">depende de </w:t>
      </w:r>
      <w:r w:rsidR="00643534">
        <w:rPr>
          <w:rFonts w:ascii="Arial" w:eastAsia="Arial" w:hAnsi="Arial" w:cs="Arial"/>
        </w:rPr>
        <w:t xml:space="preserve">las justicias laborales provinciales. </w:t>
      </w:r>
      <w:r w:rsidR="00353DC0">
        <w:rPr>
          <w:rFonts w:ascii="Arial" w:eastAsia="Arial" w:hAnsi="Arial" w:cs="Arial"/>
        </w:rPr>
        <w:t>Para crear</w:t>
      </w:r>
      <w:r w:rsidR="000046E0">
        <w:rPr>
          <w:rFonts w:ascii="Arial" w:eastAsia="Arial" w:hAnsi="Arial" w:cs="Arial"/>
        </w:rPr>
        <w:t xml:space="preserve"> empleo</w:t>
      </w:r>
      <w:r w:rsidR="008E6917">
        <w:rPr>
          <w:rFonts w:ascii="Arial" w:eastAsia="Arial" w:hAnsi="Arial" w:cs="Arial"/>
        </w:rPr>
        <w:t>s formales, a nivel provincial</w:t>
      </w:r>
      <w:r w:rsidR="00353DC0">
        <w:rPr>
          <w:rFonts w:ascii="Arial" w:eastAsia="Arial" w:hAnsi="Arial" w:cs="Arial"/>
        </w:rPr>
        <w:t xml:space="preserve"> son críticos dos elementos: a)</w:t>
      </w:r>
      <w:r w:rsidR="000046E0">
        <w:rPr>
          <w:rFonts w:ascii="Arial" w:eastAsia="Arial" w:hAnsi="Arial" w:cs="Arial"/>
        </w:rPr>
        <w:t xml:space="preserve"> </w:t>
      </w:r>
      <w:r w:rsidR="00643534">
        <w:rPr>
          <w:rFonts w:ascii="Arial" w:eastAsia="Arial" w:hAnsi="Arial" w:cs="Arial"/>
        </w:rPr>
        <w:t>unificar</w:t>
      </w:r>
      <w:r w:rsidR="00353DC0">
        <w:rPr>
          <w:rFonts w:ascii="Arial" w:eastAsia="Arial" w:hAnsi="Arial" w:cs="Arial"/>
        </w:rPr>
        <w:t xml:space="preserve"> los</w:t>
      </w:r>
      <w:r w:rsidR="00643534">
        <w:rPr>
          <w:rFonts w:ascii="Arial" w:eastAsia="Arial" w:hAnsi="Arial" w:cs="Arial"/>
        </w:rPr>
        <w:t xml:space="preserve"> criterios de actualización de los créditos laborales</w:t>
      </w:r>
      <w:r w:rsidR="00353DC0">
        <w:rPr>
          <w:rFonts w:ascii="Arial" w:eastAsia="Arial" w:hAnsi="Arial" w:cs="Arial"/>
        </w:rPr>
        <w:t>;</w:t>
      </w:r>
      <w:r w:rsidR="00643534">
        <w:rPr>
          <w:rFonts w:ascii="Arial" w:eastAsia="Arial" w:hAnsi="Arial" w:cs="Arial"/>
        </w:rPr>
        <w:t xml:space="preserve"> y </w:t>
      </w:r>
      <w:r w:rsidR="00353DC0">
        <w:rPr>
          <w:rFonts w:ascii="Arial" w:eastAsia="Arial" w:hAnsi="Arial" w:cs="Arial"/>
        </w:rPr>
        <w:t>b) crear</w:t>
      </w:r>
      <w:r w:rsidR="000046E0">
        <w:rPr>
          <w:rFonts w:ascii="Arial" w:eastAsia="Arial" w:hAnsi="Arial" w:cs="Arial"/>
        </w:rPr>
        <w:t xml:space="preserve"> los Cuerpos de Peritos Médicos</w:t>
      </w:r>
      <w:r w:rsidR="00353DC0">
        <w:rPr>
          <w:rFonts w:ascii="Arial" w:eastAsia="Arial" w:hAnsi="Arial" w:cs="Arial"/>
        </w:rPr>
        <w:t xml:space="preserve"> provinciales</w:t>
      </w:r>
      <w:r w:rsidR="000046E0">
        <w:rPr>
          <w:rFonts w:ascii="Arial" w:eastAsia="Arial" w:hAnsi="Arial" w:cs="Arial"/>
        </w:rPr>
        <w:t xml:space="preserve"> para la </w:t>
      </w:r>
      <w:r w:rsidR="00643534">
        <w:rPr>
          <w:rFonts w:ascii="Arial" w:eastAsia="Arial" w:hAnsi="Arial" w:cs="Arial"/>
        </w:rPr>
        <w:t xml:space="preserve">evaluación del daño en los juicios por accidentes </w:t>
      </w:r>
      <w:r w:rsidR="00353DC0">
        <w:rPr>
          <w:rFonts w:ascii="Arial" w:eastAsia="Arial" w:hAnsi="Arial" w:cs="Arial"/>
        </w:rPr>
        <w:t xml:space="preserve">y enfermedades </w:t>
      </w:r>
      <w:r w:rsidR="00643534">
        <w:rPr>
          <w:rFonts w:ascii="Arial" w:eastAsia="Arial" w:hAnsi="Arial" w:cs="Arial"/>
        </w:rPr>
        <w:t>profesionales.</w:t>
      </w:r>
      <w:r w:rsidR="006A6324">
        <w:rPr>
          <w:rFonts w:ascii="Arial" w:eastAsia="Arial" w:hAnsi="Arial" w:cs="Arial"/>
        </w:rPr>
        <w:t xml:space="preserve">  </w:t>
      </w:r>
      <w:r w:rsidR="00F249E4">
        <w:rPr>
          <w:rFonts w:ascii="Arial" w:eastAsia="Arial" w:hAnsi="Arial" w:cs="Arial"/>
        </w:rPr>
        <w:t xml:space="preserve"> </w:t>
      </w:r>
    </w:p>
    <w:p w14:paraId="2B24B5F9" w14:textId="0642EA40" w:rsidR="000D15B2" w:rsidRPr="00355BB2" w:rsidRDefault="00D920C3" w:rsidP="00697AD9">
      <w:pPr>
        <w:spacing w:line="300" w:lineRule="auto"/>
        <w:jc w:val="center"/>
        <w:rPr>
          <w:rFonts w:ascii="Arial" w:eastAsia="Arial" w:hAnsi="Arial" w:cs="Arial"/>
          <w:b/>
        </w:rPr>
      </w:pPr>
      <w:r>
        <w:rPr>
          <w:rFonts w:ascii="Arial" w:eastAsia="Arial" w:hAnsi="Arial" w:cs="Arial"/>
          <w:b/>
        </w:rPr>
        <w:t>Trabajadores formales, informales y desocupados</w:t>
      </w:r>
    </w:p>
    <w:p w14:paraId="3A65E18E" w14:textId="5457523F" w:rsidR="000D15B2" w:rsidRDefault="00D920C3" w:rsidP="00697AD9">
      <w:pPr>
        <w:jc w:val="center"/>
        <w:rPr>
          <w:rFonts w:ascii="Arial" w:eastAsia="Arial" w:hAnsi="Arial" w:cs="Arial"/>
          <w:sz w:val="22"/>
          <w:szCs w:val="22"/>
        </w:rPr>
      </w:pPr>
      <w:r>
        <w:rPr>
          <w:rFonts w:ascii="Arial" w:eastAsia="Arial" w:hAnsi="Arial" w:cs="Arial"/>
          <w:sz w:val="22"/>
          <w:szCs w:val="22"/>
        </w:rPr>
        <w:t>En millones de personas</w:t>
      </w:r>
    </w:p>
    <w:p w14:paraId="718AE517" w14:textId="34FB0D89" w:rsidR="000D15B2" w:rsidRDefault="00CC79F9">
      <w:pPr>
        <w:jc w:val="center"/>
        <w:rPr>
          <w:rFonts w:ascii="Arial" w:eastAsia="Arial" w:hAnsi="Arial" w:cs="Arial"/>
          <w:sz w:val="20"/>
          <w:szCs w:val="20"/>
        </w:rPr>
      </w:pPr>
      <w:r>
        <w:rPr>
          <w:rFonts w:ascii="Arial" w:eastAsia="Arial" w:hAnsi="Arial" w:cs="Arial"/>
          <w:noProof/>
          <w:sz w:val="20"/>
          <w:szCs w:val="20"/>
          <w:lang w:val="en-US"/>
        </w:rPr>
        <w:drawing>
          <wp:anchor distT="0" distB="0" distL="114300" distR="114300" simplePos="0" relativeHeight="251662336" behindDoc="1" locked="0" layoutInCell="1" allowOverlap="1" wp14:anchorId="2FDB76C1" wp14:editId="32487DC3">
            <wp:simplePos x="0" y="0"/>
            <wp:positionH relativeFrom="margin">
              <wp:align>center</wp:align>
            </wp:positionH>
            <wp:positionV relativeFrom="page">
              <wp:posOffset>7562215</wp:posOffset>
            </wp:positionV>
            <wp:extent cx="3743325" cy="2447925"/>
            <wp:effectExtent l="0" t="0" r="9525" b="9525"/>
            <wp:wrapTight wrapText="bothSides">
              <wp:wrapPolygon edited="0">
                <wp:start x="0" y="0"/>
                <wp:lineTo x="0" y="2858"/>
                <wp:lineTo x="660" y="3530"/>
                <wp:lineTo x="220" y="3530"/>
                <wp:lineTo x="220" y="10926"/>
                <wp:lineTo x="660" y="11598"/>
                <wp:lineTo x="220" y="11767"/>
                <wp:lineTo x="330" y="18658"/>
                <wp:lineTo x="10773" y="19163"/>
                <wp:lineTo x="1429" y="20003"/>
                <wp:lineTo x="1319" y="21180"/>
                <wp:lineTo x="5496" y="21516"/>
                <wp:lineTo x="18577" y="21516"/>
                <wp:lineTo x="20336" y="21180"/>
                <wp:lineTo x="20006" y="20003"/>
                <wp:lineTo x="10773" y="19163"/>
                <wp:lineTo x="21435" y="18826"/>
                <wp:lineTo x="21435" y="16809"/>
                <wp:lineTo x="18357" y="16473"/>
                <wp:lineTo x="21545" y="15633"/>
                <wp:lineTo x="21545" y="11935"/>
                <wp:lineTo x="10773" y="11094"/>
                <wp:lineTo x="21435" y="10758"/>
                <wp:lineTo x="21435" y="8573"/>
                <wp:lineTo x="15389" y="8405"/>
                <wp:lineTo x="21545" y="7564"/>
                <wp:lineTo x="21545" y="4034"/>
                <wp:lineTo x="20885" y="3530"/>
                <wp:lineTo x="21545" y="2521"/>
                <wp:lineTo x="21435" y="336"/>
                <wp:lineTo x="1429" y="0"/>
                <wp:lineTo x="0" y="0"/>
              </wp:wrapPolygon>
            </wp:wrapTight>
            <wp:docPr id="1359633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43325" cy="2447925"/>
                    </a:xfrm>
                    <a:prstGeom prst="rect">
                      <a:avLst/>
                    </a:prstGeom>
                    <a:noFill/>
                  </pic:spPr>
                </pic:pic>
              </a:graphicData>
            </a:graphic>
            <wp14:sizeRelH relativeFrom="page">
              <wp14:pctWidth>0</wp14:pctWidth>
            </wp14:sizeRelH>
            <wp14:sizeRelV relativeFrom="page">
              <wp14:pctHeight>0</wp14:pctHeight>
            </wp14:sizeRelV>
          </wp:anchor>
        </w:drawing>
      </w:r>
    </w:p>
    <w:p w14:paraId="7883A1C2" w14:textId="72EEE35F" w:rsidR="000D15B2" w:rsidRDefault="000D15B2">
      <w:pPr>
        <w:jc w:val="center"/>
        <w:rPr>
          <w:rFonts w:ascii="Arial" w:eastAsia="Arial" w:hAnsi="Arial" w:cs="Arial"/>
          <w:sz w:val="20"/>
          <w:szCs w:val="20"/>
        </w:rPr>
      </w:pPr>
    </w:p>
    <w:p w14:paraId="6CE179CC" w14:textId="062E356D" w:rsidR="000D15B2" w:rsidRDefault="00D920C3">
      <w:pPr>
        <w:jc w:val="center"/>
        <w:rPr>
          <w:rFonts w:ascii="Arial" w:eastAsia="Arial" w:hAnsi="Arial" w:cs="Arial"/>
          <w:sz w:val="20"/>
          <w:szCs w:val="20"/>
        </w:rPr>
      </w:pPr>
      <w:r>
        <w:rPr>
          <w:rFonts w:ascii="Arial" w:eastAsia="Arial" w:hAnsi="Arial" w:cs="Arial"/>
          <w:noProof/>
          <w:lang w:val="en-US"/>
        </w:rPr>
        <w:drawing>
          <wp:anchor distT="0" distB="0" distL="114300" distR="114300" simplePos="0" relativeHeight="251663360" behindDoc="1" locked="0" layoutInCell="1" allowOverlap="1" wp14:anchorId="4D0BBE54" wp14:editId="7572169D">
            <wp:simplePos x="0" y="0"/>
            <wp:positionH relativeFrom="column">
              <wp:posOffset>5109210</wp:posOffset>
            </wp:positionH>
            <wp:positionV relativeFrom="page">
              <wp:posOffset>9544050</wp:posOffset>
            </wp:positionV>
            <wp:extent cx="942975" cy="451485"/>
            <wp:effectExtent l="0" t="0" r="0" b="0"/>
            <wp:wrapTight wrapText="bothSides">
              <wp:wrapPolygon edited="0">
                <wp:start x="8291" y="0"/>
                <wp:lineTo x="1309" y="1823"/>
                <wp:lineTo x="436" y="3646"/>
                <wp:lineTo x="436" y="17316"/>
                <wp:lineTo x="5236" y="20051"/>
                <wp:lineTo x="7418" y="20051"/>
                <wp:lineTo x="15273" y="18228"/>
                <wp:lineTo x="17455" y="17316"/>
                <wp:lineTo x="17018" y="16405"/>
                <wp:lineTo x="20509" y="11848"/>
                <wp:lineTo x="20073" y="3646"/>
                <wp:lineTo x="15709" y="0"/>
                <wp:lineTo x="8291" y="0"/>
              </wp:wrapPolygon>
            </wp:wrapTight>
            <wp:docPr id="130308510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2975" cy="451485"/>
                    </a:xfrm>
                    <a:prstGeom prst="rect">
                      <a:avLst/>
                    </a:prstGeom>
                    <a:noFill/>
                  </pic:spPr>
                </pic:pic>
              </a:graphicData>
            </a:graphic>
            <wp14:sizeRelH relativeFrom="page">
              <wp14:pctWidth>0</wp14:pctWidth>
            </wp14:sizeRelH>
            <wp14:sizeRelV relativeFrom="page">
              <wp14:pctHeight>0</wp14:pctHeight>
            </wp14:sizeRelV>
          </wp:anchor>
        </w:drawing>
      </w:r>
      <w:r w:rsidR="001D11EE">
        <w:rPr>
          <w:noProof/>
          <w:lang w:val="en-US"/>
        </w:rPr>
        <w:drawing>
          <wp:anchor distT="0" distB="0" distL="114300" distR="114300" simplePos="0" relativeHeight="251661312" behindDoc="0" locked="0" layoutInCell="1" hidden="0" allowOverlap="1" wp14:anchorId="2CA7D816" wp14:editId="2067E2F9">
            <wp:simplePos x="0" y="0"/>
            <wp:positionH relativeFrom="margin">
              <wp:posOffset>60960</wp:posOffset>
            </wp:positionH>
            <wp:positionV relativeFrom="margin">
              <wp:posOffset>8757285</wp:posOffset>
            </wp:positionV>
            <wp:extent cx="1197610" cy="543560"/>
            <wp:effectExtent l="0" t="0" r="2540" b="0"/>
            <wp:wrapSquare wrapText="bothSides" distT="0" distB="0" distL="114300" distR="114300"/>
            <wp:docPr id="185806117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197610" cy="543560"/>
                    </a:xfrm>
                    <a:prstGeom prst="rect">
                      <a:avLst/>
                    </a:prstGeom>
                    <a:ln/>
                  </pic:spPr>
                </pic:pic>
              </a:graphicData>
            </a:graphic>
            <wp14:sizeRelH relativeFrom="margin">
              <wp14:pctWidth>0</wp14:pctWidth>
            </wp14:sizeRelH>
            <wp14:sizeRelV relativeFrom="margin">
              <wp14:pctHeight>0</wp14:pctHeight>
            </wp14:sizeRelV>
          </wp:anchor>
        </w:drawing>
      </w:r>
    </w:p>
    <w:sectPr w:rsidR="000D15B2">
      <w:footerReference w:type="default" r:id="rId14"/>
      <w:pgSz w:w="11906" w:h="16838"/>
      <w:pgMar w:top="1134" w:right="851"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87FAC1" w14:textId="77777777" w:rsidR="00E8661E" w:rsidRDefault="00E8661E">
      <w:r>
        <w:separator/>
      </w:r>
    </w:p>
  </w:endnote>
  <w:endnote w:type="continuationSeparator" w:id="0">
    <w:p w14:paraId="08E0299A" w14:textId="77777777" w:rsidR="00E8661E" w:rsidRDefault="00E86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9863ED" w14:textId="77777777" w:rsidR="00611A40" w:rsidRDefault="00611A40">
    <w:pPr>
      <w:pBdr>
        <w:top w:val="nil"/>
        <w:left w:val="nil"/>
        <w:bottom w:val="nil"/>
        <w:right w:val="nil"/>
        <w:between w:val="nil"/>
      </w:pBdr>
      <w:jc w:val="center"/>
      <w:rPr>
        <w:rFonts w:ascii="Arial Black" w:eastAsia="Arial Black" w:hAnsi="Arial Black" w:cs="Arial Black"/>
        <w:color w:val="000000"/>
        <w:sz w:val="20"/>
        <w:szCs w:val="20"/>
      </w:rPr>
    </w:pPr>
  </w:p>
  <w:p w14:paraId="203E6965" w14:textId="77777777" w:rsidR="00611A40" w:rsidRDefault="00611A40">
    <w:pPr>
      <w:pBdr>
        <w:top w:val="nil"/>
        <w:left w:val="nil"/>
        <w:bottom w:val="nil"/>
        <w:right w:val="nil"/>
        <w:between w:val="nil"/>
      </w:pBdr>
      <w:jc w:val="center"/>
      <w:rPr>
        <w:color w:val="000000"/>
      </w:rPr>
    </w:pPr>
    <w:r>
      <w:rPr>
        <w:rFonts w:ascii="Arial Black" w:eastAsia="Arial Black" w:hAnsi="Arial Black" w:cs="Arial Black"/>
        <w:color w:val="000000"/>
        <w:sz w:val="20"/>
        <w:szCs w:val="20"/>
      </w:rPr>
      <w:t xml:space="preserve">info@idesa.org - </w:t>
    </w:r>
    <w:hyperlink r:id="rId1">
      <w:r>
        <w:rPr>
          <w:rFonts w:ascii="Arial Black" w:eastAsia="Arial Black" w:hAnsi="Arial Black" w:cs="Arial Black"/>
          <w:color w:val="0000FF"/>
          <w:sz w:val="20"/>
          <w:szCs w:val="20"/>
          <w:u w:val="single"/>
        </w:rPr>
        <w:t>www.idesa.org</w:t>
      </w:r>
    </w:hyperlink>
    <w:r>
      <w:rPr>
        <w:rFonts w:ascii="Arial Black" w:eastAsia="Arial Black" w:hAnsi="Arial Black" w:cs="Arial Black"/>
        <w:color w:val="000000"/>
        <w:sz w:val="20"/>
        <w:szCs w:val="20"/>
      </w:rPr>
      <w:t xml:space="preserve"> – </w:t>
    </w:r>
    <w:r>
      <w:rPr>
        <w:rFonts w:ascii="Arial" w:eastAsia="Arial" w:hAnsi="Arial" w:cs="Arial"/>
        <w:color w:val="000000"/>
        <w:sz w:val="20"/>
        <w:szCs w:val="20"/>
      </w:rPr>
      <w:t xml:space="preserve">Tel. (54) - 11 - 4374 7660 </w:t>
    </w:r>
    <w:r>
      <w:rPr>
        <w:rFonts w:ascii="Arial" w:eastAsia="Arial" w:hAnsi="Arial" w:cs="Arial"/>
        <w:b/>
        <w:color w:val="000000"/>
        <w:sz w:val="28"/>
        <w:szCs w:val="28"/>
      </w:rPr>
      <w:t>/</w:t>
    </w:r>
    <w:r>
      <w:rPr>
        <w:rFonts w:ascii="Arial" w:eastAsia="Arial" w:hAnsi="Arial" w:cs="Arial"/>
        <w:color w:val="000000"/>
        <w:sz w:val="20"/>
        <w:szCs w:val="20"/>
      </w:rPr>
      <w:t xml:space="preserve"> (54) - 351 - 427 1271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ABF1F3" w14:textId="77777777" w:rsidR="00E8661E" w:rsidRDefault="00E8661E">
      <w:r>
        <w:separator/>
      </w:r>
    </w:p>
  </w:footnote>
  <w:footnote w:type="continuationSeparator" w:id="0">
    <w:p w14:paraId="18498310" w14:textId="77777777" w:rsidR="00E8661E" w:rsidRDefault="00E866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192B45"/>
    <w:multiLevelType w:val="multilevel"/>
    <w:tmpl w:val="829074D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B2"/>
    <w:rsid w:val="000046E0"/>
    <w:rsid w:val="00021737"/>
    <w:rsid w:val="00021940"/>
    <w:rsid w:val="00024517"/>
    <w:rsid w:val="00032067"/>
    <w:rsid w:val="00032FAA"/>
    <w:rsid w:val="000441AF"/>
    <w:rsid w:val="0004438F"/>
    <w:rsid w:val="00044806"/>
    <w:rsid w:val="0004532C"/>
    <w:rsid w:val="00053BB3"/>
    <w:rsid w:val="0005656B"/>
    <w:rsid w:val="00086100"/>
    <w:rsid w:val="000A4E57"/>
    <w:rsid w:val="000A67C3"/>
    <w:rsid w:val="000A7D89"/>
    <w:rsid w:val="000C68BD"/>
    <w:rsid w:val="000C7FD1"/>
    <w:rsid w:val="000D15B2"/>
    <w:rsid w:val="000D3EE2"/>
    <w:rsid w:val="0010791A"/>
    <w:rsid w:val="00112AF3"/>
    <w:rsid w:val="00114389"/>
    <w:rsid w:val="00117B1E"/>
    <w:rsid w:val="001227DE"/>
    <w:rsid w:val="001444DD"/>
    <w:rsid w:val="00152484"/>
    <w:rsid w:val="00154EBB"/>
    <w:rsid w:val="001654F9"/>
    <w:rsid w:val="0016759D"/>
    <w:rsid w:val="00170B5E"/>
    <w:rsid w:val="001812FF"/>
    <w:rsid w:val="001828EB"/>
    <w:rsid w:val="0018697D"/>
    <w:rsid w:val="00197017"/>
    <w:rsid w:val="0019771F"/>
    <w:rsid w:val="001B409F"/>
    <w:rsid w:val="001C0DE9"/>
    <w:rsid w:val="001C5356"/>
    <w:rsid w:val="001D11EE"/>
    <w:rsid w:val="001D3497"/>
    <w:rsid w:val="001E24E7"/>
    <w:rsid w:val="001E6CFF"/>
    <w:rsid w:val="00211436"/>
    <w:rsid w:val="002162AF"/>
    <w:rsid w:val="00223CA2"/>
    <w:rsid w:val="002513CB"/>
    <w:rsid w:val="002708F2"/>
    <w:rsid w:val="00284242"/>
    <w:rsid w:val="002A4830"/>
    <w:rsid w:val="002A667A"/>
    <w:rsid w:val="002B42E6"/>
    <w:rsid w:val="002C2987"/>
    <w:rsid w:val="002E4E6A"/>
    <w:rsid w:val="00302231"/>
    <w:rsid w:val="00346B68"/>
    <w:rsid w:val="003503B5"/>
    <w:rsid w:val="00353DC0"/>
    <w:rsid w:val="00355BB2"/>
    <w:rsid w:val="00361A3F"/>
    <w:rsid w:val="0036354A"/>
    <w:rsid w:val="003644B1"/>
    <w:rsid w:val="00367B9D"/>
    <w:rsid w:val="00372F76"/>
    <w:rsid w:val="0037768F"/>
    <w:rsid w:val="00394D1E"/>
    <w:rsid w:val="003A0AFA"/>
    <w:rsid w:val="003A635A"/>
    <w:rsid w:val="003B147D"/>
    <w:rsid w:val="003B2EDA"/>
    <w:rsid w:val="003C24E2"/>
    <w:rsid w:val="003E3437"/>
    <w:rsid w:val="0040230C"/>
    <w:rsid w:val="004054C3"/>
    <w:rsid w:val="004101B2"/>
    <w:rsid w:val="0041599A"/>
    <w:rsid w:val="00436D88"/>
    <w:rsid w:val="00437316"/>
    <w:rsid w:val="00445BB5"/>
    <w:rsid w:val="0045220C"/>
    <w:rsid w:val="004532DD"/>
    <w:rsid w:val="00476716"/>
    <w:rsid w:val="00476FB8"/>
    <w:rsid w:val="0049211C"/>
    <w:rsid w:val="0049512F"/>
    <w:rsid w:val="004A403D"/>
    <w:rsid w:val="004B599C"/>
    <w:rsid w:val="004B698A"/>
    <w:rsid w:val="004C131B"/>
    <w:rsid w:val="004E0413"/>
    <w:rsid w:val="004E5AB4"/>
    <w:rsid w:val="00505189"/>
    <w:rsid w:val="005066A9"/>
    <w:rsid w:val="00522252"/>
    <w:rsid w:val="005355EB"/>
    <w:rsid w:val="005364C3"/>
    <w:rsid w:val="0053687B"/>
    <w:rsid w:val="00541098"/>
    <w:rsid w:val="00555E60"/>
    <w:rsid w:val="005627AC"/>
    <w:rsid w:val="0058775F"/>
    <w:rsid w:val="005A3C38"/>
    <w:rsid w:val="005B0A6A"/>
    <w:rsid w:val="005C4D62"/>
    <w:rsid w:val="005D7626"/>
    <w:rsid w:val="005F49E9"/>
    <w:rsid w:val="00604179"/>
    <w:rsid w:val="00611A40"/>
    <w:rsid w:val="00614B7E"/>
    <w:rsid w:val="00627EEE"/>
    <w:rsid w:val="00627F48"/>
    <w:rsid w:val="00634ED5"/>
    <w:rsid w:val="00643534"/>
    <w:rsid w:val="00646B92"/>
    <w:rsid w:val="00663C7B"/>
    <w:rsid w:val="00670144"/>
    <w:rsid w:val="00692B0C"/>
    <w:rsid w:val="00697AD9"/>
    <w:rsid w:val="006A49E2"/>
    <w:rsid w:val="006A6324"/>
    <w:rsid w:val="006B27E0"/>
    <w:rsid w:val="006D7CC2"/>
    <w:rsid w:val="006D7D3C"/>
    <w:rsid w:val="006E63D5"/>
    <w:rsid w:val="0070308D"/>
    <w:rsid w:val="0070486C"/>
    <w:rsid w:val="007229B1"/>
    <w:rsid w:val="00737A50"/>
    <w:rsid w:val="00741061"/>
    <w:rsid w:val="00754342"/>
    <w:rsid w:val="007654CF"/>
    <w:rsid w:val="007662CB"/>
    <w:rsid w:val="007666D9"/>
    <w:rsid w:val="00767369"/>
    <w:rsid w:val="007725AF"/>
    <w:rsid w:val="00783674"/>
    <w:rsid w:val="00790EC3"/>
    <w:rsid w:val="007A1715"/>
    <w:rsid w:val="007A2387"/>
    <w:rsid w:val="007C06CA"/>
    <w:rsid w:val="007D0344"/>
    <w:rsid w:val="007D7347"/>
    <w:rsid w:val="007D77CE"/>
    <w:rsid w:val="007E79AE"/>
    <w:rsid w:val="007E7A6C"/>
    <w:rsid w:val="007F0AFD"/>
    <w:rsid w:val="0080797D"/>
    <w:rsid w:val="0082574E"/>
    <w:rsid w:val="00825C3E"/>
    <w:rsid w:val="00832521"/>
    <w:rsid w:val="00833D7F"/>
    <w:rsid w:val="00844834"/>
    <w:rsid w:val="00844BE0"/>
    <w:rsid w:val="00846A2E"/>
    <w:rsid w:val="00851CC1"/>
    <w:rsid w:val="00855B83"/>
    <w:rsid w:val="0087078F"/>
    <w:rsid w:val="0087476E"/>
    <w:rsid w:val="008A0050"/>
    <w:rsid w:val="008A5C2B"/>
    <w:rsid w:val="008D141A"/>
    <w:rsid w:val="008E6917"/>
    <w:rsid w:val="008E7FEA"/>
    <w:rsid w:val="008F0890"/>
    <w:rsid w:val="008F236E"/>
    <w:rsid w:val="009048CA"/>
    <w:rsid w:val="00907851"/>
    <w:rsid w:val="009132B8"/>
    <w:rsid w:val="00921443"/>
    <w:rsid w:val="00926ADF"/>
    <w:rsid w:val="00937FCD"/>
    <w:rsid w:val="00954E1C"/>
    <w:rsid w:val="00957FAB"/>
    <w:rsid w:val="00976E96"/>
    <w:rsid w:val="00983208"/>
    <w:rsid w:val="00985F51"/>
    <w:rsid w:val="009932DB"/>
    <w:rsid w:val="009B091E"/>
    <w:rsid w:val="009B19A4"/>
    <w:rsid w:val="009B5572"/>
    <w:rsid w:val="009C0026"/>
    <w:rsid w:val="00A01E52"/>
    <w:rsid w:val="00A02A94"/>
    <w:rsid w:val="00A0644E"/>
    <w:rsid w:val="00A1651D"/>
    <w:rsid w:val="00A21C56"/>
    <w:rsid w:val="00A316A2"/>
    <w:rsid w:val="00A32BA2"/>
    <w:rsid w:val="00A53963"/>
    <w:rsid w:val="00A56B29"/>
    <w:rsid w:val="00A649F3"/>
    <w:rsid w:val="00A833E5"/>
    <w:rsid w:val="00A94D96"/>
    <w:rsid w:val="00AB0F7E"/>
    <w:rsid w:val="00AD499E"/>
    <w:rsid w:val="00AE04A3"/>
    <w:rsid w:val="00AE7BD8"/>
    <w:rsid w:val="00B008D9"/>
    <w:rsid w:val="00B02B60"/>
    <w:rsid w:val="00B042BC"/>
    <w:rsid w:val="00B06D9E"/>
    <w:rsid w:val="00B126EB"/>
    <w:rsid w:val="00B14D4A"/>
    <w:rsid w:val="00B20657"/>
    <w:rsid w:val="00B21509"/>
    <w:rsid w:val="00B43A0A"/>
    <w:rsid w:val="00B46CF1"/>
    <w:rsid w:val="00B631C2"/>
    <w:rsid w:val="00B718DF"/>
    <w:rsid w:val="00B93C3E"/>
    <w:rsid w:val="00BA0DE4"/>
    <w:rsid w:val="00BB4679"/>
    <w:rsid w:val="00BB7D8E"/>
    <w:rsid w:val="00BD0E8C"/>
    <w:rsid w:val="00BD7808"/>
    <w:rsid w:val="00BE0978"/>
    <w:rsid w:val="00C06C0B"/>
    <w:rsid w:val="00C07B5A"/>
    <w:rsid w:val="00C11638"/>
    <w:rsid w:val="00C21A32"/>
    <w:rsid w:val="00C26B71"/>
    <w:rsid w:val="00C27328"/>
    <w:rsid w:val="00C2760C"/>
    <w:rsid w:val="00C53F74"/>
    <w:rsid w:val="00C57BDF"/>
    <w:rsid w:val="00C63FE1"/>
    <w:rsid w:val="00C92783"/>
    <w:rsid w:val="00CA4039"/>
    <w:rsid w:val="00CB0381"/>
    <w:rsid w:val="00CB06CD"/>
    <w:rsid w:val="00CC384C"/>
    <w:rsid w:val="00CC79F9"/>
    <w:rsid w:val="00CD163A"/>
    <w:rsid w:val="00CE1EC6"/>
    <w:rsid w:val="00CE6A9E"/>
    <w:rsid w:val="00D03222"/>
    <w:rsid w:val="00D03F63"/>
    <w:rsid w:val="00D10C40"/>
    <w:rsid w:val="00D33C48"/>
    <w:rsid w:val="00D559F4"/>
    <w:rsid w:val="00D6666F"/>
    <w:rsid w:val="00D85CF3"/>
    <w:rsid w:val="00D920C3"/>
    <w:rsid w:val="00D94BD1"/>
    <w:rsid w:val="00D97529"/>
    <w:rsid w:val="00DA4870"/>
    <w:rsid w:val="00DA6A89"/>
    <w:rsid w:val="00DB0AB8"/>
    <w:rsid w:val="00DB1CF3"/>
    <w:rsid w:val="00DB2790"/>
    <w:rsid w:val="00DD256C"/>
    <w:rsid w:val="00DD7E57"/>
    <w:rsid w:val="00DF1FAA"/>
    <w:rsid w:val="00E01936"/>
    <w:rsid w:val="00E03029"/>
    <w:rsid w:val="00E1585C"/>
    <w:rsid w:val="00E15F60"/>
    <w:rsid w:val="00E20830"/>
    <w:rsid w:val="00E20AD6"/>
    <w:rsid w:val="00E212FA"/>
    <w:rsid w:val="00E24541"/>
    <w:rsid w:val="00E24DB4"/>
    <w:rsid w:val="00E32975"/>
    <w:rsid w:val="00E33C05"/>
    <w:rsid w:val="00E36FB8"/>
    <w:rsid w:val="00E4613D"/>
    <w:rsid w:val="00E462E3"/>
    <w:rsid w:val="00E51332"/>
    <w:rsid w:val="00E521BF"/>
    <w:rsid w:val="00E532E1"/>
    <w:rsid w:val="00E53356"/>
    <w:rsid w:val="00E5505A"/>
    <w:rsid w:val="00E55F17"/>
    <w:rsid w:val="00E66AB9"/>
    <w:rsid w:val="00E70DAF"/>
    <w:rsid w:val="00E76D04"/>
    <w:rsid w:val="00E843EF"/>
    <w:rsid w:val="00E8661E"/>
    <w:rsid w:val="00E92C20"/>
    <w:rsid w:val="00E92D6A"/>
    <w:rsid w:val="00E97CA2"/>
    <w:rsid w:val="00EB24D9"/>
    <w:rsid w:val="00ED7A60"/>
    <w:rsid w:val="00EE0B6A"/>
    <w:rsid w:val="00EE4D99"/>
    <w:rsid w:val="00EE56FD"/>
    <w:rsid w:val="00EF4B9D"/>
    <w:rsid w:val="00F14CC4"/>
    <w:rsid w:val="00F249E4"/>
    <w:rsid w:val="00F25531"/>
    <w:rsid w:val="00F365C9"/>
    <w:rsid w:val="00F540AA"/>
    <w:rsid w:val="00F6180B"/>
    <w:rsid w:val="00F757DB"/>
    <w:rsid w:val="00F8273D"/>
    <w:rsid w:val="00F8442E"/>
    <w:rsid w:val="00F868A3"/>
    <w:rsid w:val="00FA2A3B"/>
    <w:rsid w:val="00FA2EE7"/>
    <w:rsid w:val="00FB2225"/>
    <w:rsid w:val="00FB3787"/>
    <w:rsid w:val="00FB6192"/>
    <w:rsid w:val="00FC471F"/>
    <w:rsid w:val="00FD4E95"/>
    <w:rsid w:val="00FD6FA4"/>
    <w:rsid w:val="00FE78F6"/>
    <w:rsid w:val="00FF445E"/>
    <w:rsid w:val="00FF57AE"/>
    <w:rsid w:val="00FF6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D3DDA"/>
  <w15:docId w15:val="{1D94CA48-192A-4558-B30D-67A1B9AB0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AE33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E3358"/>
    <w:rPr>
      <w:rFonts w:ascii="Segoe UI" w:hAnsi="Segoe UI" w:cs="Segoe UI"/>
      <w:sz w:val="18"/>
      <w:szCs w:val="18"/>
    </w:rPr>
  </w:style>
  <w:style w:type="paragraph" w:styleId="Revisin">
    <w:name w:val="Revision"/>
    <w:hidden/>
    <w:uiPriority w:val="99"/>
    <w:semiHidden/>
    <w:rsid w:val="000E4F43"/>
  </w:style>
  <w:style w:type="character" w:styleId="Refdecomentario">
    <w:name w:val="annotation reference"/>
    <w:basedOn w:val="Fuentedeprrafopredeter"/>
    <w:uiPriority w:val="99"/>
    <w:semiHidden/>
    <w:unhideWhenUsed/>
    <w:rsid w:val="00ED2E38"/>
    <w:rPr>
      <w:sz w:val="16"/>
      <w:szCs w:val="16"/>
    </w:rPr>
  </w:style>
  <w:style w:type="paragraph" w:styleId="Textocomentario">
    <w:name w:val="annotation text"/>
    <w:basedOn w:val="Normal"/>
    <w:link w:val="TextocomentarioCar"/>
    <w:uiPriority w:val="99"/>
    <w:semiHidden/>
    <w:unhideWhenUsed/>
    <w:rsid w:val="00ED2E38"/>
    <w:rPr>
      <w:sz w:val="20"/>
      <w:szCs w:val="20"/>
    </w:rPr>
  </w:style>
  <w:style w:type="character" w:customStyle="1" w:styleId="TextocomentarioCar">
    <w:name w:val="Texto comentario Car"/>
    <w:basedOn w:val="Fuentedeprrafopredeter"/>
    <w:link w:val="Textocomentario"/>
    <w:uiPriority w:val="99"/>
    <w:semiHidden/>
    <w:rsid w:val="00ED2E38"/>
    <w:rPr>
      <w:sz w:val="20"/>
      <w:szCs w:val="20"/>
    </w:rPr>
  </w:style>
  <w:style w:type="paragraph" w:styleId="Asuntodelcomentario">
    <w:name w:val="annotation subject"/>
    <w:basedOn w:val="Textocomentario"/>
    <w:next w:val="Textocomentario"/>
    <w:link w:val="AsuntodelcomentarioCar"/>
    <w:uiPriority w:val="99"/>
    <w:semiHidden/>
    <w:unhideWhenUsed/>
    <w:rsid w:val="00ED2E38"/>
    <w:rPr>
      <w:b/>
      <w:bCs/>
    </w:rPr>
  </w:style>
  <w:style w:type="character" w:customStyle="1" w:styleId="AsuntodelcomentarioCar">
    <w:name w:val="Asunto del comentario Car"/>
    <w:basedOn w:val="TextocomentarioCar"/>
    <w:link w:val="Asuntodelcomentario"/>
    <w:uiPriority w:val="99"/>
    <w:semiHidden/>
    <w:rsid w:val="00ED2E38"/>
    <w:rPr>
      <w:b/>
      <w:bCs/>
      <w:sz w:val="20"/>
      <w:szCs w:val="20"/>
    </w:rPr>
  </w:style>
  <w:style w:type="paragraph" w:styleId="Lista2">
    <w:name w:val="List 2"/>
    <w:basedOn w:val="Normal"/>
    <w:uiPriority w:val="99"/>
    <w:unhideWhenUsed/>
    <w:rsid w:val="00B90C39"/>
    <w:pPr>
      <w:ind w:left="566" w:hanging="283"/>
      <w:contextualSpacing/>
    </w:pPr>
  </w:style>
  <w:style w:type="paragraph" w:styleId="Saludo">
    <w:name w:val="Salutation"/>
    <w:basedOn w:val="Normal"/>
    <w:next w:val="Normal"/>
    <w:link w:val="SaludoCar"/>
    <w:uiPriority w:val="99"/>
    <w:unhideWhenUsed/>
    <w:rsid w:val="00B90C39"/>
  </w:style>
  <w:style w:type="character" w:customStyle="1" w:styleId="SaludoCar">
    <w:name w:val="Saludo Car"/>
    <w:basedOn w:val="Fuentedeprrafopredeter"/>
    <w:link w:val="Saludo"/>
    <w:uiPriority w:val="99"/>
    <w:rsid w:val="00B90C39"/>
  </w:style>
  <w:style w:type="paragraph" w:styleId="Fecha">
    <w:name w:val="Date"/>
    <w:basedOn w:val="Normal"/>
    <w:next w:val="Normal"/>
    <w:link w:val="FechaCar"/>
    <w:uiPriority w:val="99"/>
    <w:unhideWhenUsed/>
    <w:rsid w:val="00B90C39"/>
  </w:style>
  <w:style w:type="character" w:customStyle="1" w:styleId="FechaCar">
    <w:name w:val="Fecha Car"/>
    <w:basedOn w:val="Fuentedeprrafopredeter"/>
    <w:link w:val="Fecha"/>
    <w:uiPriority w:val="99"/>
    <w:rsid w:val="00B90C39"/>
  </w:style>
  <w:style w:type="paragraph" w:styleId="Textoindependiente">
    <w:name w:val="Body Text"/>
    <w:basedOn w:val="Normal"/>
    <w:link w:val="TextoindependienteCar"/>
    <w:uiPriority w:val="99"/>
    <w:unhideWhenUsed/>
    <w:rsid w:val="00B90C39"/>
    <w:pPr>
      <w:spacing w:after="120"/>
    </w:pPr>
  </w:style>
  <w:style w:type="character" w:customStyle="1" w:styleId="TextoindependienteCar">
    <w:name w:val="Texto independiente Car"/>
    <w:basedOn w:val="Fuentedeprrafopredeter"/>
    <w:link w:val="Textoindependiente"/>
    <w:uiPriority w:val="99"/>
    <w:rsid w:val="00B90C39"/>
  </w:style>
  <w:style w:type="paragraph" w:styleId="Encabezado">
    <w:name w:val="header"/>
    <w:basedOn w:val="Normal"/>
    <w:link w:val="EncabezadoCar"/>
    <w:uiPriority w:val="99"/>
    <w:unhideWhenUsed/>
    <w:rsid w:val="00E97290"/>
    <w:pPr>
      <w:tabs>
        <w:tab w:val="center" w:pos="4419"/>
        <w:tab w:val="right" w:pos="8838"/>
      </w:tabs>
    </w:pPr>
  </w:style>
  <w:style w:type="character" w:customStyle="1" w:styleId="EncabezadoCar">
    <w:name w:val="Encabezado Car"/>
    <w:basedOn w:val="Fuentedeprrafopredeter"/>
    <w:link w:val="Encabezado"/>
    <w:uiPriority w:val="99"/>
    <w:rsid w:val="00E97290"/>
  </w:style>
  <w:style w:type="paragraph" w:styleId="Piedepgina">
    <w:name w:val="footer"/>
    <w:basedOn w:val="Normal"/>
    <w:link w:val="PiedepginaCar"/>
    <w:uiPriority w:val="99"/>
    <w:unhideWhenUsed/>
    <w:rsid w:val="00E97290"/>
    <w:pPr>
      <w:tabs>
        <w:tab w:val="center" w:pos="4419"/>
        <w:tab w:val="right" w:pos="8838"/>
      </w:tabs>
    </w:pPr>
  </w:style>
  <w:style w:type="character" w:customStyle="1" w:styleId="PiedepginaCar">
    <w:name w:val="Pie de página Car"/>
    <w:basedOn w:val="Fuentedeprrafopredeter"/>
    <w:link w:val="Piedepgina"/>
    <w:uiPriority w:val="99"/>
    <w:rsid w:val="00E97290"/>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de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M4v8hoorZ3uDdTBhHifXYg0esA==">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Wmm4kzIK+Rp5uJM0IUc3VnZ2VzdC5laWVqdXFocnpnbW0iswIKC0FBQUJsX0JMNUpVEv8BCgtBQUFCbF9CTDVKVRILQUFBQmxfQkw1SlUaDQoJdGV4dC9odG1sEgAiDgoKdGV4dC9wbGFpbhIAKhsiFTExODI0ODExMDEwNDExMjExMjIzNCgAOAAwi7H2mokzOPev+JqJM0pRCiRhcHBsaWNhdGlvbi92bmQuZ29vZ2xlLWFwcHMuZG9jcy5tZHMaKcLX2uQBIxohCh0KF2hhY2UgbcOhcyBkZSAzMCBhw7FvcyAoEAEYABABWiBlNjU1ZDAzZWRkZDE3ZDBhYTk3NjA1OTIyZDlkZWRmNXICIAB4AIIBFHN1Z2dlc3QueHhoZWt0aDJudnM1mgEGCAAQABgAGIux9pqJMyD3r/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wtfa5AE4CjYKHwoZZGUgbGEgc2FsdWQgZGUgbG9zIG5pw7FvcxABGAASEQoLcGVkacOhdHJpY2EQARgAGAFaIDI5ODJlMTNmY2RjOWM4ZWMyMDEyNTIzZGEyYjg5YzY4cgIgAHgAggEUc3VnZ2VzdC5hN3hpdTNiN3BhdDWaAQYIABAAGAAY2L+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SYm4kzOJuLmZuJM0pLCiRhcHBsaWNhdGlvbi92bmQuZ29vZ2xlLWFwcHMuZG9jcy5tZHMaI8LX2uQBHQobCgsKBWRlIGxhEAEYABIKCgRjb21vEAEYABgBWiBlOTZhN2VhYTc5ZDM4MTMxNzIxMGI3YjI0YWQ3OWI4Y3ICIAB4AIIBFHN1Z2dlc3Qudm03aG4xYmYzdzhtmgEGCAAQABgAGL/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C933925-E1E6-4D5D-92AD-C10CE01BB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738</Words>
  <Characters>4065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Lautaro Oviedo</cp:lastModifiedBy>
  <cp:revision>11</cp:revision>
  <dcterms:created xsi:type="dcterms:W3CDTF">2025-09-21T15:45:00Z</dcterms:created>
  <dcterms:modified xsi:type="dcterms:W3CDTF">2025-09-21T20:49:00Z</dcterms:modified>
</cp:coreProperties>
</file>