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94F32" w14:textId="77777777" w:rsidR="007A1819" w:rsidRDefault="007A181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8400250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5090770D" wp14:editId="513413D9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AA58609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55EA5BC6" wp14:editId="1ACFA302">
            <wp:simplePos x="0" y="0"/>
            <wp:positionH relativeFrom="column">
              <wp:posOffset>114300</wp:posOffset>
            </wp:positionH>
            <wp:positionV relativeFrom="paragraph">
              <wp:posOffset>-407655</wp:posOffset>
            </wp:positionV>
            <wp:extent cx="1942465" cy="1892300"/>
            <wp:effectExtent l="0" t="0" r="0" b="0"/>
            <wp:wrapNone/>
            <wp:docPr id="207158414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B13F258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6744E319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8C91AB6" w14:textId="77777777" w:rsidR="007A1819" w:rsidRDefault="007A1819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6128FC9" w14:textId="77777777" w:rsidR="007A1819" w:rsidRDefault="007A1819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0122D96E" w14:textId="77777777" w:rsidR="007A1819" w:rsidRDefault="007A1819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FC0869" w14:textId="77777777" w:rsidR="007A1819" w:rsidRDefault="005A687A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23 de </w:t>
      </w:r>
      <w:proofErr w:type="gramStart"/>
      <w:r>
        <w:rPr>
          <w:rFonts w:ascii="Arial" w:eastAsia="Arial" w:hAnsi="Arial" w:cs="Arial"/>
          <w:sz w:val="22"/>
          <w:szCs w:val="22"/>
        </w:rPr>
        <w:t>Noviembre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de 2025 – Número 1.149</w:t>
      </w:r>
    </w:p>
    <w:p w14:paraId="4FDB6781" w14:textId="77777777" w:rsidR="007A1819" w:rsidRPr="004D6851" w:rsidRDefault="005A687A">
      <w:pPr>
        <w:spacing w:before="120"/>
        <w:rPr>
          <w:rFonts w:ascii="Arial" w:eastAsia="Arial" w:hAnsi="Arial" w:cs="Arial"/>
          <w:b/>
          <w:bCs/>
          <w:sz w:val="48"/>
          <w:szCs w:val="48"/>
        </w:rPr>
      </w:pPr>
      <w:r w:rsidRPr="004D6851">
        <w:rPr>
          <w:rFonts w:ascii="Arial" w:eastAsia="Arial" w:hAnsi="Arial" w:cs="Arial"/>
          <w:b/>
          <w:bCs/>
          <w:sz w:val="48"/>
          <w:szCs w:val="48"/>
        </w:rPr>
        <w:t>JUICIOS EN RIESGOS DEL TRABAJO CONSUMEN UN TERCIO DE LA ALÍCUOTA</w:t>
      </w:r>
    </w:p>
    <w:p w14:paraId="2F1EB085" w14:textId="77777777" w:rsidR="007A1819" w:rsidRDefault="005A687A">
      <w:pPr>
        <w:spacing w:before="120"/>
        <w:jc w:val="both"/>
        <w:rPr>
          <w:rFonts w:ascii="Garamond" w:eastAsia="Garamond" w:hAnsi="Garamond" w:cs="Garamond"/>
          <w:b/>
          <w:bCs/>
          <w:sz w:val="28"/>
          <w:szCs w:val="28"/>
        </w:rPr>
      </w:pPr>
      <w:r>
        <w:rPr>
          <w:rFonts w:ascii="Garamond" w:eastAsia="Garamond" w:hAnsi="Garamond" w:cs="Garamond"/>
          <w:b/>
          <w:bCs/>
          <w:sz w:val="28"/>
          <w:szCs w:val="28"/>
        </w:rPr>
        <w:t xml:space="preserve">La masividad en los juicios por riesgos del trabajo contra las ART está poniendo en jaque al sistema. No hay manera de compensar con aumento de alícuotas los costos </w:t>
      </w:r>
      <w:r w:rsidR="004D6851">
        <w:rPr>
          <w:rFonts w:ascii="Garamond" w:eastAsia="Garamond" w:hAnsi="Garamond" w:cs="Garamond"/>
          <w:b/>
          <w:bCs/>
          <w:sz w:val="28"/>
          <w:szCs w:val="28"/>
        </w:rPr>
        <w:t xml:space="preserve">derivados 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del </w:t>
      </w:r>
      <w:r w:rsidR="004D6851">
        <w:rPr>
          <w:rFonts w:ascii="Garamond" w:eastAsia="Garamond" w:hAnsi="Garamond" w:cs="Garamond"/>
          <w:b/>
          <w:bCs/>
          <w:sz w:val="28"/>
          <w:szCs w:val="28"/>
        </w:rPr>
        <w:t>incremento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1B52FD">
        <w:rPr>
          <w:rFonts w:ascii="Garamond" w:eastAsia="Garamond" w:hAnsi="Garamond" w:cs="Garamond"/>
          <w:b/>
          <w:bCs/>
          <w:sz w:val="28"/>
          <w:szCs w:val="28"/>
        </w:rPr>
        <w:t>en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 las demandas judiciales. La solución pasa por dar objetividad y racionalidad a las pericias médicas en las justicias provinciales.    </w:t>
      </w:r>
    </w:p>
    <w:p w14:paraId="4766A8A5" w14:textId="77777777" w:rsidR="007A1819" w:rsidRDefault="005A687A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Superintendencia de Seguros de la Nación interpuso una inhibición general de bienes a Galeno ART hasta tanto presente un plan de regularización, saneamiento e integración de su capital. Más allá de las particularidades de este caso, el contexto es de una </w:t>
      </w:r>
      <w:r w:rsidRPr="003B6AB1">
        <w:rPr>
          <w:rFonts w:ascii="Arial" w:eastAsia="Arial" w:hAnsi="Arial" w:cs="Arial"/>
          <w:b/>
        </w:rPr>
        <w:t xml:space="preserve">crisis sistémica </w:t>
      </w:r>
      <w:r w:rsidR="003B6AB1">
        <w:rPr>
          <w:rFonts w:ascii="Arial" w:eastAsia="Arial" w:hAnsi="Arial" w:cs="Arial"/>
          <w:b/>
        </w:rPr>
        <w:t>producto</w:t>
      </w:r>
      <w:r w:rsidRPr="003B6AB1">
        <w:rPr>
          <w:rFonts w:ascii="Arial" w:eastAsia="Arial" w:hAnsi="Arial" w:cs="Arial"/>
          <w:b/>
        </w:rPr>
        <w:t xml:space="preserve"> del crecimiento exponencial en la cantidad de juicios que se entablan contra las ART por supuestas incapacidades laborales</w:t>
      </w:r>
      <w:r>
        <w:rPr>
          <w:rFonts w:ascii="Arial" w:eastAsia="Arial" w:hAnsi="Arial" w:cs="Arial"/>
        </w:rPr>
        <w:t>. Resulta muy paradójico que, en los últimos 20 años, la tasa de siniestralidad bajó de 68 a 33 siniestros laborales cada 1.000 trabajadores, mientras que la litigiosidad pasó de 1 a 13 juicios por cada 1.000 trabajadores.</w:t>
      </w:r>
    </w:p>
    <w:p w14:paraId="4860A2F9" w14:textId="77777777" w:rsidR="007A1819" w:rsidRDefault="005A687A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Según la Superintendencia de Riesgos del Trabajo (SRT) aproximadamente 8 de cada 10 casos que van a juicio son evaluados por las comisiones médicas de la SRT como no laborales</w:t>
      </w:r>
      <w:r w:rsidR="001B52FD">
        <w:rPr>
          <w:rFonts w:ascii="Arial" w:eastAsia="Arial" w:hAnsi="Arial" w:cs="Arial"/>
        </w:rPr>
        <w:t xml:space="preserve"> o como laborales </w:t>
      </w:r>
      <w:r w:rsidR="003B6AB1">
        <w:rPr>
          <w:rFonts w:ascii="Arial" w:eastAsia="Arial" w:hAnsi="Arial" w:cs="Arial"/>
        </w:rPr>
        <w:t>sin</w:t>
      </w:r>
      <w:r>
        <w:rPr>
          <w:rFonts w:ascii="Arial" w:eastAsia="Arial" w:hAnsi="Arial" w:cs="Arial"/>
        </w:rPr>
        <w:t xml:space="preserve"> incapacidad. Luego, en los juzgados provinciales, los peritos oficiales determinan que</w:t>
      </w:r>
      <w:r w:rsidR="003B6AB1">
        <w:rPr>
          <w:rFonts w:ascii="Arial" w:eastAsia="Arial" w:hAnsi="Arial" w:cs="Arial"/>
        </w:rPr>
        <w:t xml:space="preserve"> son </w:t>
      </w:r>
      <w:r>
        <w:rPr>
          <w:rFonts w:ascii="Arial" w:eastAsia="Arial" w:hAnsi="Arial" w:cs="Arial"/>
        </w:rPr>
        <w:t>laborales con un promedio de incapacidad de 13%. La misma fuente</w:t>
      </w:r>
      <w:r w:rsidR="003B6AB1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indica que la dispersión entre provincias e incluso entre diferentes juzgados dentro de la misma provincia es enorme. Estos son indicios sólidos de que </w:t>
      </w:r>
      <w:r w:rsidRPr="003B6AB1">
        <w:rPr>
          <w:rFonts w:ascii="Arial" w:eastAsia="Arial" w:hAnsi="Arial" w:cs="Arial"/>
          <w:b/>
        </w:rPr>
        <w:t>los peritos médicos aplican criterios subjetivos para evaluar el daño laboral</w:t>
      </w:r>
      <w:r>
        <w:rPr>
          <w:rFonts w:ascii="Arial" w:eastAsia="Arial" w:hAnsi="Arial" w:cs="Arial"/>
        </w:rPr>
        <w:t xml:space="preserve">.  </w:t>
      </w:r>
    </w:p>
    <w:p w14:paraId="3E590CEA" w14:textId="77777777" w:rsidR="007A1819" w:rsidRDefault="001B52FD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Una pregunta que cabe hacerse es </w:t>
      </w:r>
      <w:r w:rsidRPr="000B5758">
        <w:rPr>
          <w:rFonts w:ascii="Arial" w:eastAsia="Arial" w:hAnsi="Arial" w:cs="Arial"/>
          <w:b/>
          <w:bCs/>
        </w:rPr>
        <w:t>cuál es el impacto que este fenómeno está teniendo en los costos del sistema</w:t>
      </w:r>
      <w:r>
        <w:rPr>
          <w:rFonts w:ascii="Arial" w:eastAsia="Arial" w:hAnsi="Arial" w:cs="Arial"/>
        </w:rPr>
        <w:t>.</w:t>
      </w:r>
      <w:r w:rsidR="005A687A">
        <w:rPr>
          <w:rFonts w:ascii="Arial" w:eastAsia="Arial" w:hAnsi="Arial" w:cs="Arial"/>
        </w:rPr>
        <w:t xml:space="preserve"> A agosto del 2025, la alícuota promedio de las ART </w:t>
      </w:r>
      <w:r w:rsidR="003B6AB1">
        <w:rPr>
          <w:rFonts w:ascii="Arial" w:eastAsia="Arial" w:hAnsi="Arial" w:cs="Arial"/>
        </w:rPr>
        <w:t>es</w:t>
      </w:r>
      <w:r w:rsidR="005A687A">
        <w:rPr>
          <w:rFonts w:ascii="Arial" w:eastAsia="Arial" w:hAnsi="Arial" w:cs="Arial"/>
        </w:rPr>
        <w:t xml:space="preserve"> de </w:t>
      </w:r>
      <w:r w:rsidR="005A687A">
        <w:rPr>
          <w:rFonts w:ascii="Arial" w:eastAsia="Arial" w:hAnsi="Arial" w:cs="Arial"/>
          <w:b/>
          <w:bCs/>
        </w:rPr>
        <w:t>2,9%</w:t>
      </w:r>
      <w:r w:rsidR="005A687A">
        <w:rPr>
          <w:rFonts w:ascii="Arial" w:eastAsia="Arial" w:hAnsi="Arial" w:cs="Arial"/>
        </w:rPr>
        <w:t xml:space="preserve"> del salario y el flujo de juicios es de más de </w:t>
      </w:r>
      <w:r w:rsidR="005A687A" w:rsidRPr="001B52FD">
        <w:rPr>
          <w:rFonts w:ascii="Arial" w:eastAsia="Arial" w:hAnsi="Arial" w:cs="Arial"/>
          <w:b/>
          <w:bCs/>
        </w:rPr>
        <w:t>10 mil demandas</w:t>
      </w:r>
      <w:r w:rsidRPr="001B52FD">
        <w:rPr>
          <w:rFonts w:ascii="Arial" w:eastAsia="Arial" w:hAnsi="Arial" w:cs="Arial"/>
          <w:b/>
          <w:bCs/>
        </w:rPr>
        <w:t xml:space="preserve"> por mes</w:t>
      </w:r>
      <w:r w:rsidR="005A687A">
        <w:rPr>
          <w:rFonts w:ascii="Arial" w:eastAsia="Arial" w:hAnsi="Arial" w:cs="Arial"/>
        </w:rPr>
        <w:t xml:space="preserve">. Este flujo de juicios tiene los siguientes impactos:  </w:t>
      </w:r>
    </w:p>
    <w:p w14:paraId="79513A68" w14:textId="77777777" w:rsidR="007A1819" w:rsidRDefault="005A687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costo de los juicios propiamente dicho</w:t>
      </w:r>
      <w:r w:rsidR="003B6AB1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asciende a </w:t>
      </w:r>
      <w:r>
        <w:rPr>
          <w:rFonts w:ascii="Arial" w:eastAsia="Arial" w:hAnsi="Arial" w:cs="Arial"/>
          <w:b/>
          <w:bCs/>
        </w:rPr>
        <w:t>0,6%</w:t>
      </w:r>
      <w:r>
        <w:rPr>
          <w:rFonts w:ascii="Arial" w:eastAsia="Arial" w:hAnsi="Arial" w:cs="Arial"/>
        </w:rPr>
        <w:t xml:space="preserve"> del salario.</w:t>
      </w:r>
    </w:p>
    <w:p w14:paraId="3C3A99F9" w14:textId="77777777" w:rsidR="007A1819" w:rsidRDefault="005A687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costo por honorario</w:t>
      </w:r>
      <w:r w:rsidR="003B6AB1">
        <w:rPr>
          <w:rFonts w:ascii="Arial" w:eastAsia="Arial" w:hAnsi="Arial" w:cs="Arial"/>
        </w:rPr>
        <w:t xml:space="preserve">s </w:t>
      </w:r>
      <w:r>
        <w:rPr>
          <w:rFonts w:ascii="Arial" w:eastAsia="Arial" w:hAnsi="Arial" w:cs="Arial"/>
        </w:rPr>
        <w:t xml:space="preserve">de abogados y peritos oficiales asciende a </w:t>
      </w:r>
      <w:r>
        <w:rPr>
          <w:rFonts w:ascii="Arial" w:eastAsia="Arial" w:hAnsi="Arial" w:cs="Arial"/>
          <w:b/>
          <w:bCs/>
        </w:rPr>
        <w:t>0,1%</w:t>
      </w:r>
      <w:r>
        <w:rPr>
          <w:rFonts w:ascii="Arial" w:eastAsia="Arial" w:hAnsi="Arial" w:cs="Arial"/>
        </w:rPr>
        <w:t xml:space="preserve"> del salario.</w:t>
      </w:r>
    </w:p>
    <w:p w14:paraId="2F31B867" w14:textId="77777777" w:rsidR="007A1819" w:rsidRDefault="005A687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Los costos administrativos e impositivos</w:t>
      </w:r>
      <w:sdt>
        <w:sdtPr>
          <w:tag w:val="goog_rdk_6"/>
          <w:id w:val="-1201183400"/>
        </w:sdtPr>
        <w:sdtEndPr/>
        <w:sdtContent>
          <w:r>
            <w:rPr>
              <w:rFonts w:ascii="Arial" w:eastAsia="Arial" w:hAnsi="Arial" w:cs="Arial"/>
            </w:rPr>
            <w:t>,</w:t>
          </w:r>
        </w:sdtContent>
      </w:sdt>
      <w:r>
        <w:rPr>
          <w:rFonts w:ascii="Arial" w:eastAsia="Arial" w:hAnsi="Arial" w:cs="Arial"/>
        </w:rPr>
        <w:t xml:space="preserve"> que los juicios generan dentro de las ART</w:t>
      </w:r>
      <w:sdt>
        <w:sdtPr>
          <w:tag w:val="goog_rdk_7"/>
          <w:id w:val="-386191056"/>
        </w:sdtPr>
        <w:sdtEndPr/>
        <w:sdtContent>
          <w:r>
            <w:rPr>
              <w:rFonts w:ascii="Arial" w:eastAsia="Arial" w:hAnsi="Arial" w:cs="Arial"/>
            </w:rPr>
            <w:t>,</w:t>
          </w:r>
        </w:sdtContent>
      </w:sdt>
      <w:r>
        <w:rPr>
          <w:rFonts w:ascii="Arial" w:eastAsia="Arial" w:hAnsi="Arial" w:cs="Arial"/>
        </w:rPr>
        <w:t xml:space="preserve"> ascienden a </w:t>
      </w:r>
      <w:r>
        <w:rPr>
          <w:rFonts w:ascii="Arial" w:eastAsia="Arial" w:hAnsi="Arial" w:cs="Arial"/>
          <w:b/>
          <w:bCs/>
        </w:rPr>
        <w:t>0,3%</w:t>
      </w:r>
      <w:r>
        <w:rPr>
          <w:rFonts w:ascii="Arial" w:eastAsia="Arial" w:hAnsi="Arial" w:cs="Arial"/>
        </w:rPr>
        <w:t xml:space="preserve"> del salario.</w:t>
      </w:r>
    </w:p>
    <w:p w14:paraId="217C242E" w14:textId="77777777" w:rsidR="007A1819" w:rsidRDefault="005A687A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muestran que los costos de los juicios contra la ART ascienden a 1% de la masa salarial, es decir, el equivalente a un tercio de la alícuota promedio del sistema. </w:t>
      </w:r>
      <w:r w:rsidRPr="003B6AB1">
        <w:rPr>
          <w:rFonts w:ascii="Arial" w:eastAsia="Arial" w:hAnsi="Arial" w:cs="Arial"/>
          <w:b/>
        </w:rPr>
        <w:t>Se trata de una porción de recursos desestabilizante que le quita viabilidad financiera a las ART</w:t>
      </w:r>
      <w:r w:rsidR="003B6AB1">
        <w:rPr>
          <w:rFonts w:ascii="Arial" w:eastAsia="Arial" w:hAnsi="Arial" w:cs="Arial"/>
          <w:b/>
        </w:rPr>
        <w:t>.</w:t>
      </w:r>
      <w:r>
        <w:rPr>
          <w:rFonts w:ascii="Arial" w:eastAsia="Arial" w:hAnsi="Arial" w:cs="Arial"/>
        </w:rPr>
        <w:t xml:space="preserve"> </w:t>
      </w:r>
      <w:r w:rsidR="003B6AB1">
        <w:rPr>
          <w:rFonts w:ascii="Arial" w:eastAsia="Arial" w:hAnsi="Arial" w:cs="Arial"/>
        </w:rPr>
        <w:t>C</w:t>
      </w:r>
      <w:r>
        <w:rPr>
          <w:rFonts w:ascii="Arial" w:eastAsia="Arial" w:hAnsi="Arial" w:cs="Arial"/>
        </w:rPr>
        <w:t xml:space="preserve">on el agravante de que la cantidad de juicios viene creciendo. A agosto del 2025 el flujo de juicios anuales fue de 126.000 demandas, a agosto del año pasado fueron 120.000, mientras que hace 3 años atrás fueron de 80.000. Más allá de las particularidades de Galeno ART, lo cierto es que el problema de los juicios afecta a todas las ART. El sistema de riesgos del trabajo está siendo </w:t>
      </w:r>
      <w:r w:rsidRPr="001B52FD">
        <w:rPr>
          <w:rFonts w:ascii="Arial" w:eastAsia="Arial" w:hAnsi="Arial" w:cs="Arial"/>
        </w:rPr>
        <w:t>ataca</w:t>
      </w:r>
      <w:r w:rsidR="001B52FD" w:rsidRPr="001B52FD">
        <w:rPr>
          <w:rFonts w:ascii="Arial" w:eastAsia="Arial" w:hAnsi="Arial" w:cs="Arial"/>
        </w:rPr>
        <w:t>do</w:t>
      </w:r>
      <w:r w:rsidR="001B52FD">
        <w:rPr>
          <w:rFonts w:ascii="Arial" w:hAnsi="Arial" w:cs="Arial"/>
        </w:rPr>
        <w:t xml:space="preserve"> s</w:t>
      </w:r>
      <w:r w:rsidRPr="001B52FD">
        <w:rPr>
          <w:rFonts w:ascii="Arial" w:eastAsia="Arial" w:hAnsi="Arial" w:cs="Arial"/>
        </w:rPr>
        <w:t>istémicamente</w:t>
      </w:r>
      <w:r>
        <w:rPr>
          <w:rFonts w:ascii="Arial" w:eastAsia="Arial" w:hAnsi="Arial" w:cs="Arial"/>
        </w:rPr>
        <w:t xml:space="preserve"> por la litigiosidad masiva.</w:t>
      </w:r>
    </w:p>
    <w:p w14:paraId="3284CD9B" w14:textId="77777777" w:rsidR="007A1819" w:rsidRDefault="005A687A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3B6AB1">
        <w:rPr>
          <w:rFonts w:ascii="Arial" w:eastAsia="Arial" w:hAnsi="Arial" w:cs="Arial"/>
          <w:b/>
        </w:rPr>
        <w:t>A la discrecionalidad con la que los peritos médicos oficiales cuantifican el daño, se suman como problemas la heterogeneidad y la arbitrariedad con que los jueces actualizan los montos de los juicios y el incumplimiento en los plazos de caducidad</w:t>
      </w:r>
      <w:r>
        <w:rPr>
          <w:rFonts w:ascii="Arial" w:eastAsia="Arial" w:hAnsi="Arial" w:cs="Arial"/>
        </w:rPr>
        <w:t>. Hay jueces que actualizan con índice salarial, otros con tasas de interés y otros con estos dos indicadores más algún adicional. Con respecto a los plazos de caducidad (el plazo para entablar juicio a partir del dictamen de comisión médica), aproximadamente la mitad de las demandas se presentan fuera de plazo y</w:t>
      </w:r>
      <w:sdt>
        <w:sdtPr>
          <w:tag w:val="goog_rdk_10"/>
          <w:id w:val="-1835099866"/>
        </w:sdtPr>
        <w:sdtEndPr/>
        <w:sdtContent>
          <w:r>
            <w:rPr>
              <w:rFonts w:ascii="Arial" w:eastAsia="Arial" w:hAnsi="Arial" w:cs="Arial"/>
            </w:rPr>
            <w:t xml:space="preserve"> </w:t>
          </w:r>
          <w:sdt>
            <w:sdtPr>
              <w:tag w:val="goog_rdk_11"/>
              <w:id w:val="430588660"/>
            </w:sdtPr>
            <w:sdtEndPr/>
            <w:sdtContent>
              <w:r w:rsidR="002561BE">
                <w:rPr>
                  <w:rFonts w:ascii="Arial" w:eastAsia="Arial" w:hAnsi="Arial" w:cs="Arial"/>
                </w:rPr>
                <w:t>aun</w:t>
              </w:r>
              <w:r>
                <w:rPr>
                  <w:rFonts w:ascii="Arial" w:eastAsia="Arial" w:hAnsi="Arial" w:cs="Arial"/>
                </w:rPr>
                <w:t xml:space="preserve"> </w:t>
              </w:r>
            </w:sdtContent>
          </w:sdt>
          <w:sdt>
            <w:sdtPr>
              <w:tag w:val="goog_rdk_12"/>
              <w:id w:val="1733183997"/>
            </w:sdtPr>
            <w:sdtEndPr/>
            <w:sdtContent>
              <w:r>
                <w:rPr>
                  <w:rFonts w:ascii="Arial" w:eastAsia="Arial" w:hAnsi="Arial" w:cs="Arial"/>
                </w:rPr>
                <w:t>así</w:t>
              </w:r>
            </w:sdtContent>
          </w:sdt>
        </w:sdtContent>
      </w:sdt>
      <w:r>
        <w:rPr>
          <w:rFonts w:ascii="Arial" w:eastAsia="Arial" w:hAnsi="Arial" w:cs="Arial"/>
        </w:rPr>
        <w:t xml:space="preserve"> son receptadas por las justicias provinciales. </w:t>
      </w:r>
    </w:p>
    <w:p w14:paraId="2BD0856E" w14:textId="77777777" w:rsidR="007A1819" w:rsidRDefault="005A687A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3B6AB1">
        <w:rPr>
          <w:rFonts w:ascii="Arial" w:eastAsia="Arial" w:hAnsi="Arial" w:cs="Arial"/>
          <w:bCs/>
        </w:rPr>
        <w:t>Si los peritajes médicos no se ajustan a reglas objetivas para determinar el daño laboral y los jueces no se atienen a una única forma de actualizar los créditos laborales y cumplir los plazos de caducidad es imposible que el seguro funcione. El riesgo de trabajo pasa a ser no asegurable y es inviable la subsistencia de las ART</w:t>
      </w:r>
      <w:r>
        <w:rPr>
          <w:rFonts w:ascii="Arial" w:eastAsia="Arial" w:hAnsi="Arial" w:cs="Arial"/>
        </w:rPr>
        <w:t xml:space="preserve">. </w:t>
      </w:r>
      <w:r w:rsidRPr="003B6AB1">
        <w:rPr>
          <w:rFonts w:ascii="Arial" w:eastAsia="Arial" w:hAnsi="Arial" w:cs="Arial"/>
          <w:b/>
        </w:rPr>
        <w:t>Sin seguro de riesgos del trabajo, el problema pasa de manera directa a los empleadores</w:t>
      </w:r>
      <w:r>
        <w:rPr>
          <w:rFonts w:ascii="Arial" w:eastAsia="Arial" w:hAnsi="Arial" w:cs="Arial"/>
        </w:rPr>
        <w:t>. Por eso urge constituir el cuerpo médico forense en las justicias provinciales y establecer que los peritajes</w:t>
      </w:r>
      <w:r w:rsidR="00DD23AD">
        <w:rPr>
          <w:rFonts w:ascii="Arial" w:eastAsia="Arial" w:hAnsi="Arial" w:cs="Arial"/>
        </w:rPr>
        <w:t xml:space="preserve"> tienen que</w:t>
      </w:r>
      <w:r>
        <w:rPr>
          <w:rFonts w:ascii="Arial" w:eastAsia="Arial" w:hAnsi="Arial" w:cs="Arial"/>
        </w:rPr>
        <w:t xml:space="preserve"> abocarse a revisar la evaluación hecha por la comisión médica de la SRT, en lugar de proceder a una nueva evaluación de la incapacidad. Además, los jueces deben respetar la caducidad y ceñirse a actualizar los créditos laborales según el Código Civil y Comercial, esto es, sin capitalización de intereses.</w:t>
      </w:r>
    </w:p>
    <w:p w14:paraId="799BA9CB" w14:textId="77777777" w:rsidR="007A1819" w:rsidRDefault="005A687A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F86A98">
        <w:rPr>
          <w:rFonts w:ascii="Arial" w:eastAsia="Arial" w:hAnsi="Arial" w:cs="Arial"/>
          <w:b/>
          <w:bCs/>
        </w:rPr>
        <w:t>La alícuota de riesgo</w:t>
      </w:r>
      <w:r w:rsidR="00F86A98" w:rsidRPr="00F86A98">
        <w:rPr>
          <w:rFonts w:ascii="Arial" w:eastAsia="Arial" w:hAnsi="Arial" w:cs="Arial"/>
          <w:b/>
          <w:bCs/>
        </w:rPr>
        <w:t>s</w:t>
      </w:r>
      <w:r w:rsidRPr="00F86A98">
        <w:rPr>
          <w:rFonts w:ascii="Arial" w:eastAsia="Arial" w:hAnsi="Arial" w:cs="Arial"/>
          <w:b/>
          <w:bCs/>
        </w:rPr>
        <w:t xml:space="preserve"> del trabajo está subiendo</w:t>
      </w:r>
      <w:r>
        <w:rPr>
          <w:rFonts w:ascii="Arial" w:eastAsia="Arial" w:hAnsi="Arial" w:cs="Arial"/>
        </w:rPr>
        <w:t>. El año pasado estaba en 2,6% del salario y a agosto está en 2,9%. Como esto no llega a compensar los costos derivados del aumento en la cantidad de juicios, el sistema está perdiendo solvencia.</w:t>
      </w:r>
      <w:r w:rsidR="00DD23AD">
        <w:rPr>
          <w:rFonts w:ascii="Arial" w:eastAsia="Arial" w:hAnsi="Arial" w:cs="Arial"/>
        </w:rPr>
        <w:t xml:space="preserve"> Por estos motivos</w:t>
      </w:r>
      <w:r w:rsidR="003B6AB1">
        <w:t xml:space="preserve"> </w:t>
      </w:r>
      <w:r>
        <w:rPr>
          <w:rFonts w:ascii="Arial" w:eastAsia="Arial" w:hAnsi="Arial" w:cs="Arial"/>
        </w:rPr>
        <w:t>la reforma laboral</w:t>
      </w:r>
      <w:r w:rsidR="00DD23AD">
        <w:t xml:space="preserve"> </w:t>
      </w:r>
      <w:r w:rsidR="00DD23AD">
        <w:rPr>
          <w:rFonts w:ascii="Arial" w:eastAsia="Arial" w:hAnsi="Arial" w:cs="Arial"/>
        </w:rPr>
        <w:t xml:space="preserve">tiene que </w:t>
      </w:r>
      <w:r>
        <w:rPr>
          <w:rFonts w:ascii="Arial" w:eastAsia="Arial" w:hAnsi="Arial" w:cs="Arial"/>
        </w:rPr>
        <w:t xml:space="preserve">contemplar </w:t>
      </w:r>
      <w:r w:rsidR="00DD23AD">
        <w:rPr>
          <w:rFonts w:ascii="Arial" w:eastAsia="Arial" w:hAnsi="Arial" w:cs="Arial"/>
        </w:rPr>
        <w:t>un</w:t>
      </w:r>
      <w:r>
        <w:rPr>
          <w:rFonts w:ascii="Arial" w:eastAsia="Arial" w:hAnsi="Arial" w:cs="Arial"/>
        </w:rPr>
        <w:t xml:space="preserve"> acuerdo con las provincias para uniformar criterios en las justicias laborales provinciales. </w:t>
      </w:r>
    </w:p>
    <w:p w14:paraId="63CDD2F8" w14:textId="77777777" w:rsidR="007A1819" w:rsidRDefault="005A687A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Costo de los juicios en la alícuota de riesgos del </w:t>
      </w:r>
      <w:sdt>
        <w:sdtPr>
          <w:tag w:val="goog_rdk_18"/>
          <w:id w:val="-1025308994"/>
        </w:sdtPr>
        <w:sdtEndPr/>
        <w:sdtContent/>
      </w:sdt>
      <w:r>
        <w:rPr>
          <w:rFonts w:ascii="Arial" w:eastAsia="Arial" w:hAnsi="Arial" w:cs="Arial"/>
          <w:b/>
          <w:bCs/>
        </w:rPr>
        <w:t>trabajo</w:t>
      </w:r>
    </w:p>
    <w:p w14:paraId="6A23689B" w14:textId="77777777" w:rsidR="007A1819" w:rsidRDefault="005A687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0288" behindDoc="0" locked="0" layoutInCell="1" hidden="0" allowOverlap="1" wp14:anchorId="2AAD42AB" wp14:editId="53E363C6">
            <wp:simplePos x="0" y="0"/>
            <wp:positionH relativeFrom="margin">
              <wp:posOffset>1489710</wp:posOffset>
            </wp:positionH>
            <wp:positionV relativeFrom="page">
              <wp:posOffset>7934325</wp:posOffset>
            </wp:positionV>
            <wp:extent cx="3295650" cy="2152015"/>
            <wp:effectExtent l="0" t="0" r="0" b="0"/>
            <wp:wrapSquare wrapText="bothSides" distT="0" distB="0" distL="114300" distR="114300"/>
            <wp:docPr id="207158415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2152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2"/>
          <w:szCs w:val="22"/>
        </w:rPr>
        <w:t>2025</w:t>
      </w:r>
    </w:p>
    <w:p w14:paraId="6B70ED74" w14:textId="77777777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6652719A" w14:textId="77777777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03DD0188" w14:textId="77777777" w:rsidR="007A1819" w:rsidRDefault="0070059D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noProof/>
          <w:lang w:val="en-US"/>
        </w:rPr>
        <w:drawing>
          <wp:anchor distT="0" distB="0" distL="114300" distR="114300" simplePos="0" relativeHeight="251662336" behindDoc="0" locked="0" layoutInCell="1" hidden="0" allowOverlap="1" wp14:anchorId="557791F9" wp14:editId="6727DEA3">
            <wp:simplePos x="0" y="0"/>
            <wp:positionH relativeFrom="column">
              <wp:posOffset>4480560</wp:posOffset>
            </wp:positionH>
            <wp:positionV relativeFrom="bottomMargin">
              <wp:posOffset>-295275</wp:posOffset>
            </wp:positionV>
            <wp:extent cx="933450" cy="422275"/>
            <wp:effectExtent l="0" t="0" r="0" b="0"/>
            <wp:wrapSquare wrapText="bothSides" distT="0" distB="0" distL="114300" distR="114300"/>
            <wp:docPr id="207158414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422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5A687A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7F95039B" wp14:editId="12B83CD5">
            <wp:simplePos x="0" y="0"/>
            <wp:positionH relativeFrom="margin">
              <wp:posOffset>317500</wp:posOffset>
            </wp:positionH>
            <wp:positionV relativeFrom="bottomMargin">
              <wp:posOffset>-379729</wp:posOffset>
            </wp:positionV>
            <wp:extent cx="1197610" cy="543560"/>
            <wp:effectExtent l="0" t="0" r="0" b="0"/>
            <wp:wrapSquare wrapText="bothSides" distT="0" distB="0" distL="114300" distR="114300"/>
            <wp:docPr id="207158414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7A1819">
      <w:footerReference w:type="default" r:id="rId13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38651" w14:textId="77777777" w:rsidR="000F4D25" w:rsidRDefault="000F4D25">
      <w:r>
        <w:separator/>
      </w:r>
    </w:p>
  </w:endnote>
  <w:endnote w:type="continuationSeparator" w:id="0">
    <w:p w14:paraId="732F7C88" w14:textId="77777777" w:rsidR="000F4D25" w:rsidRDefault="000F4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A05C7AA1-0F3C-4726-96BE-3416B2943B2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A0B4979F-55A0-46FA-A076-4063E516C65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7EB2E089-ACE4-473D-904A-CEECB165AFB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Bold r:id="rId4" w:fontKey="{CD49D977-87CD-40A7-B0F2-D26BE22C6D21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fontKey="{758D6369-5C2D-46CC-970A-EA6FEB1EEE0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D345624D-CAC5-440E-A383-BFDAD1202F8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ADA8AA8F-52B3-428E-B60F-1097C3777A9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3E96C" w14:textId="77777777" w:rsidR="007A1819" w:rsidRDefault="007A1819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447EB1AC" w14:textId="77777777" w:rsidR="007A1819" w:rsidRDefault="005A687A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bCs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FF9C8" w14:textId="77777777" w:rsidR="000F4D25" w:rsidRDefault="000F4D25">
      <w:r>
        <w:separator/>
      </w:r>
    </w:p>
  </w:footnote>
  <w:footnote w:type="continuationSeparator" w:id="0">
    <w:p w14:paraId="295EAE02" w14:textId="77777777" w:rsidR="000F4D25" w:rsidRDefault="000F4D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E4FDA"/>
    <w:multiLevelType w:val="multilevel"/>
    <w:tmpl w:val="54F46B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1203177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819"/>
    <w:rsid w:val="000B5758"/>
    <w:rsid w:val="000F4D25"/>
    <w:rsid w:val="001B52FD"/>
    <w:rsid w:val="002561BE"/>
    <w:rsid w:val="003B6AB1"/>
    <w:rsid w:val="004D6851"/>
    <w:rsid w:val="005A687A"/>
    <w:rsid w:val="0070059D"/>
    <w:rsid w:val="007A1819"/>
    <w:rsid w:val="00A0618E"/>
    <w:rsid w:val="00DC67D1"/>
    <w:rsid w:val="00DD23AD"/>
    <w:rsid w:val="00EE6C57"/>
    <w:rsid w:val="00F8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EC31F"/>
  <w15:docId w15:val="{49C3A267-9ADB-47EB-940E-AF004482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VOKPqlUk0kXkNzmpia0Rxb7Klg==">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815</Words>
  <Characters>4071</Characters>
  <Application>Microsoft Office Word</Application>
  <DocSecurity>0</DocSecurity>
  <Lines>72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3</cp:revision>
  <dcterms:created xsi:type="dcterms:W3CDTF">2025-11-23T16:02:00Z</dcterms:created>
  <dcterms:modified xsi:type="dcterms:W3CDTF">2025-11-23T16:03:00Z</dcterms:modified>
</cp:coreProperties>
</file>