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594F32" w14:textId="77777777" w:rsidR="007A1819" w:rsidRDefault="007A181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48400250" w14:textId="77777777" w:rsidR="007A1819" w:rsidRDefault="005A687A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114935" distR="114935" simplePos="0" relativeHeight="251658240" behindDoc="0" locked="0" layoutInCell="1" hidden="0" allowOverlap="1" wp14:anchorId="5090770D" wp14:editId="513413D9">
            <wp:simplePos x="0" y="0"/>
            <wp:positionH relativeFrom="column">
              <wp:posOffset>4006850</wp:posOffset>
            </wp:positionH>
            <wp:positionV relativeFrom="paragraph">
              <wp:posOffset>149225</wp:posOffset>
            </wp:positionV>
            <wp:extent cx="2294890" cy="1189990"/>
            <wp:effectExtent l="0" t="0" r="0" b="0"/>
            <wp:wrapSquare wrapText="bothSides" distT="0" distB="0" distL="114935" distR="114935"/>
            <wp:docPr id="207158414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l="-34" t="-70" r="-35" b="-69"/>
                    <a:stretch>
                      <a:fillRect/>
                    </a:stretch>
                  </pic:blipFill>
                  <pic:spPr>
                    <a:xfrm>
                      <a:off x="0" y="0"/>
                      <a:ext cx="2294890" cy="11899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AA58609" w14:textId="77777777" w:rsidR="007A1819" w:rsidRDefault="005A687A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0" distR="0" simplePos="0" relativeHeight="251659264" behindDoc="1" locked="0" layoutInCell="1" hidden="0" allowOverlap="1" wp14:anchorId="55EA5BC6" wp14:editId="1ACFA302">
            <wp:simplePos x="0" y="0"/>
            <wp:positionH relativeFrom="column">
              <wp:posOffset>114300</wp:posOffset>
            </wp:positionH>
            <wp:positionV relativeFrom="paragraph">
              <wp:posOffset>-407655</wp:posOffset>
            </wp:positionV>
            <wp:extent cx="1942465" cy="1892300"/>
            <wp:effectExtent l="0" t="0" r="0" b="0"/>
            <wp:wrapNone/>
            <wp:docPr id="2071584149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 l="-21" t="-21" r="-21" b="-21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189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B13F258" w14:textId="77777777" w:rsidR="007A1819" w:rsidRDefault="007A1819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6744E319" w14:textId="77777777" w:rsidR="007A1819" w:rsidRDefault="007A1819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58C91AB6" w14:textId="77777777" w:rsidR="007A1819" w:rsidRDefault="007A1819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36128FC9" w14:textId="77777777" w:rsidR="007A1819" w:rsidRDefault="007A1819">
      <w:pPr>
        <w:tabs>
          <w:tab w:val="left" w:pos="8310"/>
        </w:tabs>
        <w:spacing w:before="120" w:after="120"/>
        <w:rPr>
          <w:rFonts w:ascii="Arial" w:eastAsia="Arial" w:hAnsi="Arial" w:cs="Arial"/>
        </w:rPr>
      </w:pPr>
    </w:p>
    <w:p w14:paraId="6E162DCE" w14:textId="77777777" w:rsidR="00705DFF" w:rsidRDefault="00705DFF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30FC0869" w14:textId="66523AF9" w:rsidR="007A1819" w:rsidRDefault="00CB6C28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7</w:t>
      </w:r>
      <w:r w:rsidR="005A687A">
        <w:rPr>
          <w:rFonts w:ascii="Arial" w:eastAsia="Arial" w:hAnsi="Arial" w:cs="Arial"/>
          <w:sz w:val="22"/>
          <w:szCs w:val="22"/>
        </w:rPr>
        <w:t xml:space="preserve"> de </w:t>
      </w:r>
      <w:proofErr w:type="gramStart"/>
      <w:r>
        <w:rPr>
          <w:rFonts w:ascii="Arial" w:eastAsia="Arial" w:hAnsi="Arial" w:cs="Arial"/>
          <w:sz w:val="22"/>
          <w:szCs w:val="22"/>
        </w:rPr>
        <w:t>Dic</w:t>
      </w:r>
      <w:r w:rsidR="005A687A">
        <w:rPr>
          <w:rFonts w:ascii="Arial" w:eastAsia="Arial" w:hAnsi="Arial" w:cs="Arial"/>
          <w:sz w:val="22"/>
          <w:szCs w:val="22"/>
        </w:rPr>
        <w:t>iembre</w:t>
      </w:r>
      <w:proofErr w:type="gramEnd"/>
      <w:r w:rsidR="005A687A">
        <w:rPr>
          <w:rFonts w:ascii="Arial" w:eastAsia="Arial" w:hAnsi="Arial" w:cs="Arial"/>
          <w:sz w:val="22"/>
          <w:szCs w:val="22"/>
        </w:rPr>
        <w:t xml:space="preserve"> de 2025 – Número 1.1</w:t>
      </w:r>
      <w:r w:rsidR="000F565F">
        <w:rPr>
          <w:rFonts w:ascii="Arial" w:eastAsia="Arial" w:hAnsi="Arial" w:cs="Arial"/>
          <w:sz w:val="22"/>
          <w:szCs w:val="22"/>
        </w:rPr>
        <w:t>5</w:t>
      </w:r>
      <w:r>
        <w:rPr>
          <w:rFonts w:ascii="Arial" w:eastAsia="Arial" w:hAnsi="Arial" w:cs="Arial"/>
          <w:sz w:val="22"/>
          <w:szCs w:val="22"/>
        </w:rPr>
        <w:t>1</w:t>
      </w:r>
    </w:p>
    <w:p w14:paraId="4FDB6781" w14:textId="245588AB" w:rsidR="007A1819" w:rsidRPr="00E84458" w:rsidRDefault="00E84458">
      <w:pPr>
        <w:spacing w:before="120"/>
        <w:rPr>
          <w:rFonts w:ascii="Arial" w:eastAsia="Arial" w:hAnsi="Arial" w:cs="Arial"/>
          <w:b/>
          <w:bCs/>
          <w:sz w:val="48"/>
          <w:szCs w:val="48"/>
        </w:rPr>
      </w:pPr>
      <w:r w:rsidRPr="00E84458">
        <w:rPr>
          <w:rFonts w:ascii="Arial" w:eastAsia="Arial" w:hAnsi="Arial" w:cs="Arial"/>
          <w:b/>
          <w:bCs/>
          <w:sz w:val="48"/>
          <w:szCs w:val="48"/>
        </w:rPr>
        <w:t>ACTUALIZACI</w:t>
      </w:r>
      <w:r w:rsidR="00F84FF6">
        <w:rPr>
          <w:rFonts w:ascii="Arial" w:eastAsia="Arial" w:hAnsi="Arial" w:cs="Arial"/>
          <w:b/>
          <w:bCs/>
          <w:sz w:val="48"/>
          <w:szCs w:val="48"/>
        </w:rPr>
        <w:t>Ó</w:t>
      </w:r>
      <w:r w:rsidRPr="00E84458">
        <w:rPr>
          <w:rFonts w:ascii="Arial" w:eastAsia="Arial" w:hAnsi="Arial" w:cs="Arial"/>
          <w:b/>
          <w:bCs/>
          <w:sz w:val="48"/>
          <w:szCs w:val="48"/>
        </w:rPr>
        <w:t>N DE JUICIOS LABORALES</w:t>
      </w:r>
      <w:r w:rsidR="0034259D" w:rsidRPr="00E84458">
        <w:rPr>
          <w:rFonts w:ascii="Arial" w:eastAsia="Arial" w:hAnsi="Arial" w:cs="Arial"/>
          <w:b/>
          <w:bCs/>
          <w:sz w:val="48"/>
          <w:szCs w:val="48"/>
        </w:rPr>
        <w:t xml:space="preserve"> REQUIERE UN </w:t>
      </w:r>
      <w:r w:rsidR="00943C8D">
        <w:rPr>
          <w:rFonts w:ascii="Arial" w:eastAsia="Arial" w:hAnsi="Arial" w:cs="Arial"/>
          <w:b/>
          <w:bCs/>
          <w:sz w:val="48"/>
          <w:szCs w:val="48"/>
        </w:rPr>
        <w:t>Í</w:t>
      </w:r>
      <w:r w:rsidR="0034259D" w:rsidRPr="00E84458">
        <w:rPr>
          <w:rFonts w:ascii="Arial" w:eastAsia="Arial" w:hAnsi="Arial" w:cs="Arial"/>
          <w:b/>
          <w:bCs/>
          <w:sz w:val="48"/>
          <w:szCs w:val="48"/>
        </w:rPr>
        <w:t xml:space="preserve">NDICE </w:t>
      </w:r>
      <w:r w:rsidRPr="00E84458">
        <w:rPr>
          <w:rFonts w:ascii="Arial" w:eastAsia="Arial" w:hAnsi="Arial" w:cs="Arial"/>
          <w:b/>
          <w:bCs/>
          <w:sz w:val="48"/>
          <w:szCs w:val="48"/>
        </w:rPr>
        <w:t>ESPECIAL</w:t>
      </w:r>
    </w:p>
    <w:p w14:paraId="2F1EB085" w14:textId="76C6C2A3" w:rsidR="007A1819" w:rsidRDefault="00B31915">
      <w:pPr>
        <w:spacing w:before="120"/>
        <w:jc w:val="both"/>
        <w:rPr>
          <w:rFonts w:ascii="Garamond" w:eastAsia="Garamond" w:hAnsi="Garamond" w:cs="Garamond"/>
          <w:b/>
          <w:bCs/>
          <w:sz w:val="28"/>
          <w:szCs w:val="28"/>
        </w:rPr>
      </w:pPr>
      <w:r>
        <w:rPr>
          <w:rFonts w:ascii="Garamond" w:eastAsia="Garamond" w:hAnsi="Garamond" w:cs="Garamond"/>
          <w:b/>
          <w:bCs/>
          <w:sz w:val="28"/>
          <w:szCs w:val="28"/>
        </w:rPr>
        <w:t>L</w:t>
      </w:r>
      <w:r w:rsidR="00E84458">
        <w:rPr>
          <w:rFonts w:ascii="Garamond" w:eastAsia="Garamond" w:hAnsi="Garamond" w:cs="Garamond"/>
          <w:b/>
          <w:bCs/>
          <w:sz w:val="28"/>
          <w:szCs w:val="28"/>
        </w:rPr>
        <w:t xml:space="preserve">a enorme acumulación de juicios laborales genera un pasivo muy difícil </w:t>
      </w:r>
      <w:r w:rsidR="00943C8D">
        <w:rPr>
          <w:rFonts w:ascii="Garamond" w:eastAsia="Garamond" w:hAnsi="Garamond" w:cs="Garamond"/>
          <w:b/>
          <w:bCs/>
          <w:sz w:val="28"/>
          <w:szCs w:val="28"/>
        </w:rPr>
        <w:t>de abordar</w:t>
      </w:r>
      <w:r w:rsidR="00E84458">
        <w:rPr>
          <w:rFonts w:ascii="Garamond" w:eastAsia="Garamond" w:hAnsi="Garamond" w:cs="Garamond"/>
          <w:b/>
          <w:bCs/>
          <w:sz w:val="28"/>
          <w:szCs w:val="28"/>
        </w:rPr>
        <w:t>. Como ya ocurrió en el pasado</w:t>
      </w:r>
      <w:r w:rsidR="00943C8D">
        <w:rPr>
          <w:rFonts w:ascii="Garamond" w:eastAsia="Garamond" w:hAnsi="Garamond" w:cs="Garamond"/>
          <w:b/>
          <w:bCs/>
          <w:sz w:val="28"/>
          <w:szCs w:val="28"/>
        </w:rPr>
        <w:t xml:space="preserve"> saliendo de la hiperinflación</w:t>
      </w:r>
      <w:r w:rsidR="00FC6E59">
        <w:rPr>
          <w:rFonts w:ascii="Garamond" w:eastAsia="Garamond" w:hAnsi="Garamond" w:cs="Garamond"/>
          <w:b/>
          <w:bCs/>
          <w:sz w:val="28"/>
          <w:szCs w:val="28"/>
        </w:rPr>
        <w:t>,</w:t>
      </w:r>
      <w:r w:rsidR="00E84458">
        <w:rPr>
          <w:rFonts w:ascii="Garamond" w:eastAsia="Garamond" w:hAnsi="Garamond" w:cs="Garamond"/>
          <w:b/>
          <w:bCs/>
          <w:sz w:val="28"/>
          <w:szCs w:val="28"/>
        </w:rPr>
        <w:t xml:space="preserve"> se necesita que </w:t>
      </w:r>
      <w:r>
        <w:rPr>
          <w:rFonts w:ascii="Garamond" w:eastAsia="Garamond" w:hAnsi="Garamond" w:cs="Garamond"/>
          <w:b/>
          <w:bCs/>
          <w:sz w:val="28"/>
          <w:szCs w:val="28"/>
        </w:rPr>
        <w:t>el Banco Central</w:t>
      </w:r>
      <w:r w:rsidR="00123BBA">
        <w:rPr>
          <w:rFonts w:ascii="Garamond" w:eastAsia="Garamond" w:hAnsi="Garamond" w:cs="Garamond"/>
          <w:b/>
          <w:bCs/>
          <w:sz w:val="28"/>
          <w:szCs w:val="28"/>
        </w:rPr>
        <w:t xml:space="preserve"> establezca </w:t>
      </w:r>
      <w:r w:rsidR="00943C8D">
        <w:rPr>
          <w:rFonts w:ascii="Garamond" w:eastAsia="Garamond" w:hAnsi="Garamond" w:cs="Garamond"/>
          <w:b/>
          <w:bCs/>
          <w:sz w:val="28"/>
          <w:szCs w:val="28"/>
        </w:rPr>
        <w:t>–</w:t>
      </w:r>
      <w:r w:rsidR="00123BBA">
        <w:rPr>
          <w:rFonts w:ascii="Garamond" w:eastAsia="Garamond" w:hAnsi="Garamond" w:cs="Garamond"/>
          <w:b/>
          <w:bCs/>
          <w:sz w:val="28"/>
          <w:szCs w:val="28"/>
        </w:rPr>
        <w:t>y las justicias laborales apliquen</w:t>
      </w:r>
      <w:r w:rsidR="00943C8D">
        <w:rPr>
          <w:rFonts w:ascii="Garamond" w:eastAsia="Garamond" w:hAnsi="Garamond" w:cs="Garamond"/>
          <w:b/>
          <w:bCs/>
          <w:sz w:val="28"/>
          <w:szCs w:val="28"/>
        </w:rPr>
        <w:t>–</w:t>
      </w:r>
      <w:r w:rsidR="00123BBA">
        <w:rPr>
          <w:rFonts w:ascii="Garamond" w:eastAsia="Garamond" w:hAnsi="Garamond" w:cs="Garamond"/>
          <w:b/>
          <w:bCs/>
          <w:sz w:val="28"/>
          <w:szCs w:val="28"/>
        </w:rPr>
        <w:t xml:space="preserve"> </w:t>
      </w:r>
      <w:r w:rsidR="00FC6E59">
        <w:rPr>
          <w:rFonts w:ascii="Garamond" w:eastAsia="Garamond" w:hAnsi="Garamond" w:cs="Garamond"/>
          <w:b/>
          <w:bCs/>
          <w:sz w:val="28"/>
          <w:szCs w:val="28"/>
        </w:rPr>
        <w:t xml:space="preserve">un </w:t>
      </w:r>
      <w:r>
        <w:rPr>
          <w:rFonts w:ascii="Garamond" w:eastAsia="Garamond" w:hAnsi="Garamond" w:cs="Garamond"/>
          <w:b/>
          <w:bCs/>
          <w:sz w:val="28"/>
          <w:szCs w:val="28"/>
        </w:rPr>
        <w:t>índice de actualización</w:t>
      </w:r>
      <w:r w:rsidR="00943C8D">
        <w:rPr>
          <w:rFonts w:ascii="Garamond" w:eastAsia="Garamond" w:hAnsi="Garamond" w:cs="Garamond"/>
          <w:b/>
          <w:bCs/>
          <w:sz w:val="28"/>
          <w:szCs w:val="28"/>
        </w:rPr>
        <w:t xml:space="preserve"> de deudas pasadas</w:t>
      </w:r>
      <w:r>
        <w:rPr>
          <w:rFonts w:ascii="Garamond" w:eastAsia="Garamond" w:hAnsi="Garamond" w:cs="Garamond"/>
          <w:b/>
          <w:bCs/>
          <w:sz w:val="28"/>
          <w:szCs w:val="28"/>
        </w:rPr>
        <w:t xml:space="preserve"> que contemple la </w:t>
      </w:r>
      <w:r w:rsidR="00123BBA">
        <w:rPr>
          <w:rFonts w:ascii="Garamond" w:eastAsia="Garamond" w:hAnsi="Garamond" w:cs="Garamond"/>
          <w:b/>
          <w:bCs/>
          <w:sz w:val="28"/>
          <w:szCs w:val="28"/>
        </w:rPr>
        <w:t xml:space="preserve">excepcionalidad de la </w:t>
      </w:r>
      <w:r w:rsidR="00943C8D">
        <w:rPr>
          <w:rFonts w:ascii="Garamond" w:eastAsia="Garamond" w:hAnsi="Garamond" w:cs="Garamond"/>
          <w:b/>
          <w:bCs/>
          <w:sz w:val="28"/>
          <w:szCs w:val="28"/>
        </w:rPr>
        <w:t xml:space="preserve">actual </w:t>
      </w:r>
      <w:r w:rsidR="00123BBA">
        <w:rPr>
          <w:rFonts w:ascii="Garamond" w:eastAsia="Garamond" w:hAnsi="Garamond" w:cs="Garamond"/>
          <w:b/>
          <w:bCs/>
          <w:sz w:val="28"/>
          <w:szCs w:val="28"/>
        </w:rPr>
        <w:t>situación</w:t>
      </w:r>
      <w:r w:rsidR="00617438">
        <w:rPr>
          <w:rFonts w:ascii="Garamond" w:eastAsia="Garamond" w:hAnsi="Garamond" w:cs="Garamond"/>
          <w:b/>
          <w:bCs/>
          <w:sz w:val="28"/>
          <w:szCs w:val="28"/>
        </w:rPr>
        <w:t>.</w:t>
      </w:r>
      <w:r w:rsidR="005A687A">
        <w:rPr>
          <w:rFonts w:ascii="Garamond" w:eastAsia="Garamond" w:hAnsi="Garamond" w:cs="Garamond"/>
          <w:b/>
          <w:bCs/>
          <w:sz w:val="28"/>
          <w:szCs w:val="28"/>
        </w:rPr>
        <w:t xml:space="preserve">    </w:t>
      </w:r>
    </w:p>
    <w:p w14:paraId="42630748" w14:textId="48C3AF49" w:rsidR="00DD7B4C" w:rsidRDefault="00123BBA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Es fuente de </w:t>
      </w:r>
      <w:r w:rsidR="00DD7B4C">
        <w:rPr>
          <w:rFonts w:ascii="Arial" w:eastAsia="Arial" w:hAnsi="Arial" w:cs="Arial"/>
        </w:rPr>
        <w:t>polémica</w:t>
      </w:r>
      <w:r>
        <w:rPr>
          <w:rFonts w:ascii="Arial" w:eastAsia="Arial" w:hAnsi="Arial" w:cs="Arial"/>
        </w:rPr>
        <w:t>s</w:t>
      </w:r>
      <w:r w:rsidR="00DD7B4C">
        <w:rPr>
          <w:rFonts w:ascii="Arial" w:eastAsia="Arial" w:hAnsi="Arial" w:cs="Arial"/>
        </w:rPr>
        <w:t xml:space="preserve"> el caso de </w:t>
      </w:r>
      <w:r w:rsidR="00FC6E59">
        <w:rPr>
          <w:rFonts w:ascii="Arial" w:eastAsia="Arial" w:hAnsi="Arial" w:cs="Arial"/>
        </w:rPr>
        <w:t xml:space="preserve">un </w:t>
      </w:r>
      <w:r w:rsidR="00DD7B4C" w:rsidRPr="00AC0482">
        <w:rPr>
          <w:rFonts w:ascii="Arial" w:eastAsia="Arial" w:hAnsi="Arial" w:cs="Arial"/>
          <w:b/>
        </w:rPr>
        <w:t xml:space="preserve">juicio por despido </w:t>
      </w:r>
      <w:r w:rsidRPr="00AC0482">
        <w:rPr>
          <w:rFonts w:ascii="Arial" w:eastAsia="Arial" w:hAnsi="Arial" w:cs="Arial"/>
          <w:b/>
        </w:rPr>
        <w:t>d</w:t>
      </w:r>
      <w:r w:rsidR="00614BB9" w:rsidRPr="00AC0482">
        <w:rPr>
          <w:rFonts w:ascii="Arial" w:eastAsia="Arial" w:hAnsi="Arial" w:cs="Arial"/>
          <w:b/>
        </w:rPr>
        <w:t>e un</w:t>
      </w:r>
      <w:r w:rsidR="00DD7B4C" w:rsidRPr="00AC0482">
        <w:rPr>
          <w:rFonts w:ascii="Arial" w:eastAsia="Arial" w:hAnsi="Arial" w:cs="Arial"/>
          <w:b/>
        </w:rPr>
        <w:t xml:space="preserve"> restaurante</w:t>
      </w:r>
      <w:r w:rsidR="00DD7B4C">
        <w:rPr>
          <w:rFonts w:ascii="Arial" w:eastAsia="Arial" w:hAnsi="Arial" w:cs="Arial"/>
        </w:rPr>
        <w:t xml:space="preserve"> </w:t>
      </w:r>
      <w:r w:rsidR="0062456C">
        <w:rPr>
          <w:rFonts w:ascii="Arial" w:eastAsia="Arial" w:hAnsi="Arial" w:cs="Arial"/>
        </w:rPr>
        <w:t>por</w:t>
      </w:r>
      <w:r w:rsidR="00DD7B4C">
        <w:rPr>
          <w:rFonts w:ascii="Arial" w:eastAsia="Arial" w:hAnsi="Arial" w:cs="Arial"/>
        </w:rPr>
        <w:t xml:space="preserve"> la magnitud del monto de indemnización sentenciado por la justicia laboral. Se trata de $250 millones para un mozo con 26 años de antigüedad que se dio por despedido en el 2020. El </w:t>
      </w:r>
      <w:r>
        <w:rPr>
          <w:rFonts w:ascii="Arial" w:eastAsia="Arial" w:hAnsi="Arial" w:cs="Arial"/>
        </w:rPr>
        <w:t xml:space="preserve">origen del problema es </w:t>
      </w:r>
      <w:r w:rsidR="00DD7B4C">
        <w:rPr>
          <w:rFonts w:ascii="Arial" w:eastAsia="Arial" w:hAnsi="Arial" w:cs="Arial"/>
        </w:rPr>
        <w:t>la legislación laboral que</w:t>
      </w:r>
      <w:r>
        <w:rPr>
          <w:rFonts w:ascii="Arial" w:eastAsia="Arial" w:hAnsi="Arial" w:cs="Arial"/>
        </w:rPr>
        <w:t xml:space="preserve"> </w:t>
      </w:r>
      <w:r w:rsidR="00943C8D">
        <w:rPr>
          <w:rFonts w:ascii="Arial" w:eastAsia="Arial" w:hAnsi="Arial" w:cs="Arial"/>
        </w:rPr>
        <w:t>multiplicó</w:t>
      </w:r>
      <w:r>
        <w:rPr>
          <w:rFonts w:ascii="Arial" w:eastAsia="Arial" w:hAnsi="Arial" w:cs="Arial"/>
        </w:rPr>
        <w:t xml:space="preserve"> la</w:t>
      </w:r>
      <w:r w:rsidR="00DD7B4C">
        <w:rPr>
          <w:rFonts w:ascii="Arial" w:eastAsia="Arial" w:hAnsi="Arial" w:cs="Arial"/>
        </w:rPr>
        <w:t xml:space="preserve"> indemnización </w:t>
      </w:r>
      <w:r w:rsidR="00943C8D">
        <w:rPr>
          <w:rFonts w:ascii="Arial" w:eastAsia="Arial" w:hAnsi="Arial" w:cs="Arial"/>
        </w:rPr>
        <w:t>por la prohibición al</w:t>
      </w:r>
      <w:r w:rsidR="00DD7B4C">
        <w:rPr>
          <w:rFonts w:ascii="Arial" w:eastAsia="Arial" w:hAnsi="Arial" w:cs="Arial"/>
        </w:rPr>
        <w:t xml:space="preserve"> despido</w:t>
      </w:r>
      <w:r w:rsidR="00943C8D">
        <w:rPr>
          <w:rFonts w:ascii="Arial" w:eastAsia="Arial" w:hAnsi="Arial" w:cs="Arial"/>
        </w:rPr>
        <w:t xml:space="preserve"> que había en la pandemia</w:t>
      </w:r>
      <w:r w:rsidR="00DD7B4C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y la interpretación de la Justica que incorpor</w:t>
      </w:r>
      <w:r w:rsidR="00943C8D">
        <w:rPr>
          <w:rFonts w:ascii="Arial" w:eastAsia="Arial" w:hAnsi="Arial" w:cs="Arial"/>
        </w:rPr>
        <w:t>ó</w:t>
      </w:r>
      <w:r>
        <w:rPr>
          <w:rFonts w:ascii="Arial" w:eastAsia="Arial" w:hAnsi="Arial" w:cs="Arial"/>
        </w:rPr>
        <w:t xml:space="preserve"> </w:t>
      </w:r>
      <w:r w:rsidR="00DD7B4C">
        <w:rPr>
          <w:rFonts w:ascii="Arial" w:eastAsia="Arial" w:hAnsi="Arial" w:cs="Arial"/>
        </w:rPr>
        <w:t xml:space="preserve">las propinas como </w:t>
      </w:r>
      <w:r>
        <w:rPr>
          <w:rFonts w:ascii="Arial" w:eastAsia="Arial" w:hAnsi="Arial" w:cs="Arial"/>
        </w:rPr>
        <w:t xml:space="preserve">parte del </w:t>
      </w:r>
      <w:r w:rsidR="00DD7B4C">
        <w:rPr>
          <w:rFonts w:ascii="Arial" w:eastAsia="Arial" w:hAnsi="Arial" w:cs="Arial"/>
        </w:rPr>
        <w:t>salario</w:t>
      </w:r>
      <w:r>
        <w:rPr>
          <w:rFonts w:ascii="Arial" w:eastAsia="Arial" w:hAnsi="Arial" w:cs="Arial"/>
        </w:rPr>
        <w:t xml:space="preserve"> </w:t>
      </w:r>
      <w:r w:rsidR="00943C8D">
        <w:rPr>
          <w:rFonts w:ascii="Arial" w:eastAsia="Arial" w:hAnsi="Arial" w:cs="Arial"/>
        </w:rPr>
        <w:t>a</w:t>
      </w:r>
      <w:r w:rsidR="00A04706">
        <w:rPr>
          <w:rFonts w:ascii="Arial" w:eastAsia="Arial" w:hAnsi="Arial" w:cs="Arial"/>
        </w:rPr>
        <w:t>l cálculo de la indemnización</w:t>
      </w:r>
      <w:r w:rsidR="00614BB9">
        <w:rPr>
          <w:rFonts w:ascii="Arial" w:eastAsia="Arial" w:hAnsi="Arial" w:cs="Arial"/>
        </w:rPr>
        <w:t xml:space="preserve">. </w:t>
      </w:r>
      <w:r w:rsidR="00943C8D">
        <w:rPr>
          <w:rFonts w:ascii="Arial" w:eastAsia="Arial" w:hAnsi="Arial" w:cs="Arial"/>
        </w:rPr>
        <w:t>Esto arrojó un</w:t>
      </w:r>
      <w:r w:rsidR="00614BB9">
        <w:rPr>
          <w:rFonts w:ascii="Arial" w:eastAsia="Arial" w:hAnsi="Arial" w:cs="Arial"/>
        </w:rPr>
        <w:t xml:space="preserve"> valor histórico</w:t>
      </w:r>
      <w:r w:rsidR="00943C8D">
        <w:rPr>
          <w:rFonts w:ascii="Arial" w:eastAsia="Arial" w:hAnsi="Arial" w:cs="Arial"/>
        </w:rPr>
        <w:t xml:space="preserve"> al 2020 de $9,4 millones. A este monto </w:t>
      </w:r>
      <w:r w:rsidR="0042154E">
        <w:rPr>
          <w:rFonts w:ascii="Arial" w:eastAsia="Arial" w:hAnsi="Arial" w:cs="Arial"/>
        </w:rPr>
        <w:t xml:space="preserve">se </w:t>
      </w:r>
      <w:r w:rsidR="00943C8D">
        <w:rPr>
          <w:rFonts w:ascii="Arial" w:eastAsia="Arial" w:hAnsi="Arial" w:cs="Arial"/>
        </w:rPr>
        <w:t xml:space="preserve">le </w:t>
      </w:r>
      <w:r w:rsidR="0042154E">
        <w:rPr>
          <w:rFonts w:ascii="Arial" w:eastAsia="Arial" w:hAnsi="Arial" w:cs="Arial"/>
        </w:rPr>
        <w:t>aplicó</w:t>
      </w:r>
      <w:r w:rsidR="00A04706">
        <w:rPr>
          <w:rFonts w:ascii="Arial" w:eastAsia="Arial" w:hAnsi="Arial" w:cs="Arial"/>
        </w:rPr>
        <w:t xml:space="preserve"> </w:t>
      </w:r>
      <w:r w:rsidR="00943C8D">
        <w:rPr>
          <w:rFonts w:ascii="Arial" w:eastAsia="Arial" w:hAnsi="Arial" w:cs="Arial"/>
        </w:rPr>
        <w:t>la actualización de</w:t>
      </w:r>
      <w:r w:rsidR="00A04706">
        <w:rPr>
          <w:rFonts w:ascii="Arial" w:eastAsia="Arial" w:hAnsi="Arial" w:cs="Arial"/>
        </w:rPr>
        <w:t xml:space="preserve"> IPC </w:t>
      </w:r>
      <w:r w:rsidR="00943C8D">
        <w:rPr>
          <w:rFonts w:ascii="Arial" w:eastAsia="Arial" w:hAnsi="Arial" w:cs="Arial"/>
        </w:rPr>
        <w:t>más</w:t>
      </w:r>
      <w:r w:rsidR="00DD7B4C">
        <w:rPr>
          <w:rFonts w:ascii="Arial" w:eastAsia="Arial" w:hAnsi="Arial" w:cs="Arial"/>
        </w:rPr>
        <w:t xml:space="preserve"> 3%</w:t>
      </w:r>
      <w:r w:rsidR="00943C8D">
        <w:rPr>
          <w:rFonts w:ascii="Arial" w:eastAsia="Arial" w:hAnsi="Arial" w:cs="Arial"/>
        </w:rPr>
        <w:t xml:space="preserve"> anual </w:t>
      </w:r>
      <w:r w:rsidR="002B7FE4">
        <w:rPr>
          <w:rFonts w:ascii="Arial" w:eastAsia="Arial" w:hAnsi="Arial" w:cs="Arial"/>
        </w:rPr>
        <w:t>–</w:t>
      </w:r>
      <w:r w:rsidR="00943C8D">
        <w:rPr>
          <w:rFonts w:ascii="Arial" w:eastAsia="Arial" w:hAnsi="Arial" w:cs="Arial"/>
        </w:rPr>
        <w:t>fórmula que estableció el actual gobierno</w:t>
      </w:r>
      <w:r w:rsidR="002B7FE4">
        <w:rPr>
          <w:rFonts w:ascii="Arial" w:eastAsia="Arial" w:hAnsi="Arial" w:cs="Arial"/>
        </w:rPr>
        <w:t>–</w:t>
      </w:r>
      <w:r w:rsidR="00943C8D">
        <w:rPr>
          <w:rFonts w:ascii="Arial" w:eastAsia="Arial" w:hAnsi="Arial" w:cs="Arial"/>
        </w:rPr>
        <w:t xml:space="preserve"> que llevó </w:t>
      </w:r>
      <w:r w:rsidR="002B7FE4">
        <w:rPr>
          <w:rFonts w:ascii="Arial" w:eastAsia="Arial" w:hAnsi="Arial" w:cs="Arial"/>
        </w:rPr>
        <w:t>a un monto actualizado de</w:t>
      </w:r>
      <w:r w:rsidR="00DD7B4C">
        <w:rPr>
          <w:rFonts w:ascii="Arial" w:eastAsia="Arial" w:hAnsi="Arial" w:cs="Arial"/>
        </w:rPr>
        <w:t xml:space="preserve"> $250 millones.</w:t>
      </w:r>
    </w:p>
    <w:p w14:paraId="4860A2F9" w14:textId="0F0DEA86" w:rsidR="007A1819" w:rsidRDefault="004D6E66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Con m</w:t>
      </w:r>
      <w:r w:rsidR="00614BB9">
        <w:rPr>
          <w:rFonts w:ascii="Arial" w:eastAsia="Arial" w:hAnsi="Arial" w:cs="Arial"/>
        </w:rPr>
        <w:t>enos polémicas púb</w:t>
      </w:r>
      <w:r>
        <w:rPr>
          <w:rFonts w:ascii="Arial" w:eastAsia="Arial" w:hAnsi="Arial" w:cs="Arial"/>
        </w:rPr>
        <w:t>l</w:t>
      </w:r>
      <w:r w:rsidR="00614BB9">
        <w:rPr>
          <w:rFonts w:ascii="Arial" w:eastAsia="Arial" w:hAnsi="Arial" w:cs="Arial"/>
        </w:rPr>
        <w:t xml:space="preserve">icas, pero con similar origen, aparece </w:t>
      </w:r>
      <w:r w:rsidR="00614BB9" w:rsidRPr="00AC0482">
        <w:rPr>
          <w:rFonts w:ascii="Arial" w:eastAsia="Arial" w:hAnsi="Arial" w:cs="Arial"/>
          <w:b/>
        </w:rPr>
        <w:t xml:space="preserve">la inhibición dispuesta por la Superintendencia de Seguros de la Nación </w:t>
      </w:r>
      <w:r w:rsidR="00943C8D" w:rsidRPr="00AC0482">
        <w:rPr>
          <w:rFonts w:ascii="Arial" w:eastAsia="Arial" w:hAnsi="Arial" w:cs="Arial"/>
          <w:b/>
        </w:rPr>
        <w:t>a</w:t>
      </w:r>
      <w:r w:rsidR="00614BB9" w:rsidRPr="00AC0482">
        <w:rPr>
          <w:rFonts w:ascii="Arial" w:eastAsia="Arial" w:hAnsi="Arial" w:cs="Arial"/>
          <w:b/>
        </w:rPr>
        <w:t xml:space="preserve"> una de las más importantes ART</w:t>
      </w:r>
      <w:r w:rsidR="00614BB9">
        <w:rPr>
          <w:rFonts w:ascii="Arial" w:eastAsia="Arial" w:hAnsi="Arial" w:cs="Arial"/>
        </w:rPr>
        <w:t xml:space="preserve">. </w:t>
      </w:r>
      <w:r w:rsidR="00DD7B4C">
        <w:rPr>
          <w:rFonts w:ascii="Arial" w:eastAsia="Arial" w:hAnsi="Arial" w:cs="Arial"/>
        </w:rPr>
        <w:t>E</w:t>
      </w:r>
      <w:r w:rsidR="00614BB9">
        <w:rPr>
          <w:rFonts w:ascii="Arial" w:eastAsia="Arial" w:hAnsi="Arial" w:cs="Arial"/>
        </w:rPr>
        <w:t>n este caso el desencad</w:t>
      </w:r>
      <w:r w:rsidR="00943C8D">
        <w:rPr>
          <w:rFonts w:ascii="Arial" w:eastAsia="Arial" w:hAnsi="Arial" w:cs="Arial"/>
        </w:rPr>
        <w:t>e</w:t>
      </w:r>
      <w:r w:rsidR="00614BB9">
        <w:rPr>
          <w:rFonts w:ascii="Arial" w:eastAsia="Arial" w:hAnsi="Arial" w:cs="Arial"/>
        </w:rPr>
        <w:t>na</w:t>
      </w:r>
      <w:r w:rsidR="00943C8D">
        <w:rPr>
          <w:rFonts w:ascii="Arial" w:eastAsia="Arial" w:hAnsi="Arial" w:cs="Arial"/>
        </w:rPr>
        <w:t>n</w:t>
      </w:r>
      <w:r w:rsidR="00614BB9">
        <w:rPr>
          <w:rFonts w:ascii="Arial" w:eastAsia="Arial" w:hAnsi="Arial" w:cs="Arial"/>
        </w:rPr>
        <w:t xml:space="preserve">te </w:t>
      </w:r>
      <w:r>
        <w:rPr>
          <w:rFonts w:ascii="Arial" w:eastAsia="Arial" w:hAnsi="Arial" w:cs="Arial"/>
        </w:rPr>
        <w:t>son las dificultades financieras que genera</w:t>
      </w:r>
      <w:r w:rsidR="00614BB9">
        <w:rPr>
          <w:rFonts w:ascii="Arial" w:eastAsia="Arial" w:hAnsi="Arial" w:cs="Arial"/>
        </w:rPr>
        <w:t xml:space="preserve"> la </w:t>
      </w:r>
      <w:r w:rsidR="00041158">
        <w:rPr>
          <w:rFonts w:ascii="Arial" w:eastAsia="Arial" w:hAnsi="Arial" w:cs="Arial"/>
        </w:rPr>
        <w:t>acumulación de juicios laborales. El pago de las sentencias</w:t>
      </w:r>
      <w:r w:rsidR="009A272E">
        <w:rPr>
          <w:rFonts w:ascii="Arial" w:eastAsia="Arial" w:hAnsi="Arial" w:cs="Arial"/>
        </w:rPr>
        <w:t xml:space="preserve"> actualizadas</w:t>
      </w:r>
      <w:r w:rsidR="00041158">
        <w:rPr>
          <w:rFonts w:ascii="Arial" w:eastAsia="Arial" w:hAnsi="Arial" w:cs="Arial"/>
        </w:rPr>
        <w:t xml:space="preserve"> en la mayoría de los casos por mecanismos similares a</w:t>
      </w:r>
      <w:r w:rsidR="00EF23D2">
        <w:rPr>
          <w:rFonts w:ascii="Arial" w:eastAsia="Arial" w:hAnsi="Arial" w:cs="Arial"/>
        </w:rPr>
        <w:t>l caso</w:t>
      </w:r>
      <w:r w:rsidR="00041158">
        <w:rPr>
          <w:rFonts w:ascii="Arial" w:eastAsia="Arial" w:hAnsi="Arial" w:cs="Arial"/>
        </w:rPr>
        <w:t xml:space="preserve"> del restaurante</w:t>
      </w:r>
      <w:r w:rsidR="009A272E">
        <w:rPr>
          <w:rFonts w:ascii="Arial" w:eastAsia="Arial" w:hAnsi="Arial" w:cs="Arial"/>
        </w:rPr>
        <w:t>,</w:t>
      </w:r>
      <w:r w:rsidR="00041158">
        <w:rPr>
          <w:rFonts w:ascii="Arial" w:eastAsia="Arial" w:hAnsi="Arial" w:cs="Arial"/>
        </w:rPr>
        <w:t xml:space="preserve"> o incluso más gravosos, </w:t>
      </w:r>
      <w:r w:rsidR="009A272E">
        <w:rPr>
          <w:rFonts w:ascii="Arial" w:eastAsia="Arial" w:hAnsi="Arial" w:cs="Arial"/>
        </w:rPr>
        <w:t>absorbieron</w:t>
      </w:r>
      <w:r w:rsidR="00041158">
        <w:rPr>
          <w:rFonts w:ascii="Arial" w:eastAsia="Arial" w:hAnsi="Arial" w:cs="Arial"/>
        </w:rPr>
        <w:t xml:space="preserve"> una </w:t>
      </w:r>
      <w:r>
        <w:rPr>
          <w:rFonts w:ascii="Arial" w:eastAsia="Arial" w:hAnsi="Arial" w:cs="Arial"/>
        </w:rPr>
        <w:t xml:space="preserve">fracción </w:t>
      </w:r>
      <w:r w:rsidR="00041158">
        <w:rPr>
          <w:rFonts w:ascii="Arial" w:eastAsia="Arial" w:hAnsi="Arial" w:cs="Arial"/>
        </w:rPr>
        <w:t xml:space="preserve">desproporcionada </w:t>
      </w:r>
      <w:r>
        <w:rPr>
          <w:rFonts w:ascii="Arial" w:eastAsia="Arial" w:hAnsi="Arial" w:cs="Arial"/>
        </w:rPr>
        <w:t>de l</w:t>
      </w:r>
      <w:r w:rsidR="00041158">
        <w:rPr>
          <w:rFonts w:ascii="Arial" w:eastAsia="Arial" w:hAnsi="Arial" w:cs="Arial"/>
        </w:rPr>
        <w:t>os ingresos de l</w:t>
      </w:r>
      <w:r>
        <w:rPr>
          <w:rFonts w:ascii="Arial" w:eastAsia="Arial" w:hAnsi="Arial" w:cs="Arial"/>
        </w:rPr>
        <w:t>a</w:t>
      </w:r>
      <w:r w:rsidR="00041158">
        <w:rPr>
          <w:rFonts w:ascii="Arial" w:eastAsia="Arial" w:hAnsi="Arial" w:cs="Arial"/>
        </w:rPr>
        <w:t xml:space="preserve"> a</w:t>
      </w:r>
      <w:r>
        <w:rPr>
          <w:rFonts w:ascii="Arial" w:eastAsia="Arial" w:hAnsi="Arial" w:cs="Arial"/>
        </w:rPr>
        <w:t xml:space="preserve">seguradora </w:t>
      </w:r>
      <w:r w:rsidR="0042154E">
        <w:rPr>
          <w:rFonts w:ascii="Arial" w:eastAsia="Arial" w:hAnsi="Arial" w:cs="Arial"/>
        </w:rPr>
        <w:t>imposibilitando</w:t>
      </w:r>
      <w:r>
        <w:rPr>
          <w:rFonts w:ascii="Arial" w:eastAsia="Arial" w:hAnsi="Arial" w:cs="Arial"/>
        </w:rPr>
        <w:t xml:space="preserve"> su</w:t>
      </w:r>
      <w:r w:rsidR="00041158">
        <w:rPr>
          <w:rFonts w:ascii="Arial" w:eastAsia="Arial" w:hAnsi="Arial" w:cs="Arial"/>
        </w:rPr>
        <w:t xml:space="preserve"> </w:t>
      </w:r>
      <w:r w:rsidR="0042154E">
        <w:rPr>
          <w:rFonts w:ascii="Arial" w:eastAsia="Arial" w:hAnsi="Arial" w:cs="Arial"/>
        </w:rPr>
        <w:t xml:space="preserve">normal </w:t>
      </w:r>
      <w:r w:rsidR="00041158">
        <w:rPr>
          <w:rFonts w:ascii="Arial" w:eastAsia="Arial" w:hAnsi="Arial" w:cs="Arial"/>
        </w:rPr>
        <w:t xml:space="preserve">operatividad. </w:t>
      </w:r>
    </w:p>
    <w:p w14:paraId="3E590CEA" w14:textId="3606D453" w:rsidR="007A1819" w:rsidRDefault="009A272E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Cs/>
        </w:rPr>
        <w:t xml:space="preserve">Una pregunta que cabe hacerse es </w:t>
      </w:r>
      <w:r w:rsidRPr="00DA3A38">
        <w:rPr>
          <w:rFonts w:ascii="Arial" w:eastAsia="Arial" w:hAnsi="Arial" w:cs="Arial"/>
          <w:b/>
        </w:rPr>
        <w:t xml:space="preserve">cuál es la </w:t>
      </w:r>
      <w:r w:rsidRPr="0062456C">
        <w:rPr>
          <w:rFonts w:ascii="Arial" w:eastAsia="Arial" w:hAnsi="Arial" w:cs="Arial"/>
          <w:b/>
          <w:bCs/>
        </w:rPr>
        <w:t>magnitud de los juicios laborales pendientes cuyas sentencias generarán este mismo problema</w:t>
      </w:r>
      <w:r>
        <w:rPr>
          <w:rFonts w:ascii="Arial" w:eastAsia="Arial" w:hAnsi="Arial" w:cs="Arial"/>
          <w:bCs/>
        </w:rPr>
        <w:t>.</w:t>
      </w:r>
      <w:r w:rsidR="004D6E66">
        <w:rPr>
          <w:rFonts w:ascii="Arial" w:eastAsia="Arial" w:hAnsi="Arial" w:cs="Arial"/>
          <w:bCs/>
        </w:rPr>
        <w:t xml:space="preserve"> </w:t>
      </w:r>
      <w:r w:rsidR="00A5752C">
        <w:rPr>
          <w:rFonts w:ascii="Arial" w:eastAsia="Arial" w:hAnsi="Arial" w:cs="Arial"/>
          <w:bCs/>
        </w:rPr>
        <w:t xml:space="preserve">En base a </w:t>
      </w:r>
      <w:r w:rsidR="0062456C">
        <w:rPr>
          <w:rFonts w:ascii="Arial" w:eastAsia="Arial" w:hAnsi="Arial" w:cs="Arial"/>
          <w:bCs/>
        </w:rPr>
        <w:t>datos de</w:t>
      </w:r>
      <w:r w:rsidR="00A5752C">
        <w:rPr>
          <w:rFonts w:ascii="Arial" w:eastAsia="Arial" w:hAnsi="Arial" w:cs="Arial"/>
          <w:bCs/>
        </w:rPr>
        <w:t xml:space="preserve"> la </w:t>
      </w:r>
      <w:r w:rsidR="004D6E66">
        <w:rPr>
          <w:rFonts w:ascii="Arial" w:eastAsia="Arial" w:hAnsi="Arial" w:cs="Arial"/>
          <w:bCs/>
        </w:rPr>
        <w:t xml:space="preserve">Superintendencia de </w:t>
      </w:r>
      <w:r>
        <w:rPr>
          <w:rFonts w:ascii="Arial" w:eastAsia="Arial" w:hAnsi="Arial" w:cs="Arial"/>
          <w:bCs/>
        </w:rPr>
        <w:t>R</w:t>
      </w:r>
      <w:r w:rsidR="004D6E66">
        <w:rPr>
          <w:rFonts w:ascii="Arial" w:eastAsia="Arial" w:hAnsi="Arial" w:cs="Arial"/>
          <w:bCs/>
        </w:rPr>
        <w:t xml:space="preserve">iesgos del </w:t>
      </w:r>
      <w:r>
        <w:rPr>
          <w:rFonts w:ascii="Arial" w:eastAsia="Arial" w:hAnsi="Arial" w:cs="Arial"/>
          <w:bCs/>
        </w:rPr>
        <w:t>T</w:t>
      </w:r>
      <w:r w:rsidR="004D6E66">
        <w:rPr>
          <w:rFonts w:ascii="Arial" w:eastAsia="Arial" w:hAnsi="Arial" w:cs="Arial"/>
          <w:bCs/>
        </w:rPr>
        <w:t>rabajo</w:t>
      </w:r>
      <w:r w:rsidR="00A5752C">
        <w:rPr>
          <w:rFonts w:ascii="Arial" w:eastAsia="Arial" w:hAnsi="Arial" w:cs="Arial"/>
          <w:bCs/>
        </w:rPr>
        <w:t xml:space="preserve"> y web de las justicias provinciales se estima que</w:t>
      </w:r>
      <w:r w:rsidR="005A687A">
        <w:rPr>
          <w:rFonts w:ascii="Arial" w:eastAsia="Arial" w:hAnsi="Arial" w:cs="Arial"/>
        </w:rPr>
        <w:t xml:space="preserve">:  </w:t>
      </w:r>
    </w:p>
    <w:p w14:paraId="79513A68" w14:textId="2BFFA2EE" w:rsidR="007A1819" w:rsidRDefault="0004384A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El stock de juicios por </w:t>
      </w:r>
      <w:r w:rsidRPr="009A272E">
        <w:rPr>
          <w:rFonts w:ascii="Arial" w:eastAsia="Arial" w:hAnsi="Arial" w:cs="Arial"/>
          <w:b/>
          <w:bCs/>
        </w:rPr>
        <w:t>riesgos del trabajo</w:t>
      </w:r>
      <w:r>
        <w:rPr>
          <w:rFonts w:ascii="Arial" w:eastAsia="Arial" w:hAnsi="Arial" w:cs="Arial"/>
        </w:rPr>
        <w:t xml:space="preserve"> asciende a </w:t>
      </w:r>
      <w:r w:rsidR="005442C4" w:rsidRPr="009A272E">
        <w:rPr>
          <w:rFonts w:ascii="Arial" w:eastAsia="Arial" w:hAnsi="Arial" w:cs="Arial"/>
          <w:b/>
          <w:bCs/>
        </w:rPr>
        <w:t>308.082</w:t>
      </w:r>
      <w:r w:rsidR="005442C4">
        <w:rPr>
          <w:rFonts w:ascii="Arial" w:eastAsia="Arial" w:hAnsi="Arial" w:cs="Arial"/>
        </w:rPr>
        <w:t xml:space="preserve"> expedientes</w:t>
      </w:r>
      <w:r w:rsidR="005A687A">
        <w:rPr>
          <w:rFonts w:ascii="Arial" w:eastAsia="Arial" w:hAnsi="Arial" w:cs="Arial"/>
        </w:rPr>
        <w:t>.</w:t>
      </w:r>
    </w:p>
    <w:p w14:paraId="3C3A99F9" w14:textId="40F5E8B9" w:rsidR="007A1819" w:rsidRDefault="0004384A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El stock de juicios por </w:t>
      </w:r>
      <w:r w:rsidRPr="009A272E">
        <w:rPr>
          <w:rFonts w:ascii="Arial" w:eastAsia="Arial" w:hAnsi="Arial" w:cs="Arial"/>
          <w:b/>
          <w:bCs/>
        </w:rPr>
        <w:t>despido</w:t>
      </w:r>
      <w:r>
        <w:rPr>
          <w:rFonts w:ascii="Arial" w:eastAsia="Arial" w:hAnsi="Arial" w:cs="Arial"/>
        </w:rPr>
        <w:t xml:space="preserve"> asciende a </w:t>
      </w:r>
      <w:r w:rsidR="005442C4" w:rsidRPr="009A272E">
        <w:rPr>
          <w:rFonts w:ascii="Arial" w:eastAsia="Arial" w:hAnsi="Arial" w:cs="Arial"/>
          <w:b/>
          <w:bCs/>
        </w:rPr>
        <w:t>329.248</w:t>
      </w:r>
      <w:r w:rsidR="005442C4">
        <w:rPr>
          <w:rFonts w:ascii="Arial" w:eastAsia="Arial" w:hAnsi="Arial" w:cs="Arial"/>
        </w:rPr>
        <w:t xml:space="preserve"> expedientes</w:t>
      </w:r>
      <w:r w:rsidR="005A687A">
        <w:rPr>
          <w:rFonts w:ascii="Arial" w:eastAsia="Arial" w:hAnsi="Arial" w:cs="Arial"/>
        </w:rPr>
        <w:t>.</w:t>
      </w:r>
    </w:p>
    <w:p w14:paraId="2F31B867" w14:textId="243C0DEE" w:rsidR="007A1819" w:rsidRDefault="006F1712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Es decir</w:t>
      </w:r>
      <w:r w:rsidR="0062456C">
        <w:rPr>
          <w:rFonts w:ascii="Arial" w:eastAsia="Arial" w:hAnsi="Arial" w:cs="Arial"/>
        </w:rPr>
        <w:t xml:space="preserve"> que</w:t>
      </w:r>
      <w:r>
        <w:rPr>
          <w:rFonts w:ascii="Arial" w:eastAsia="Arial" w:hAnsi="Arial" w:cs="Arial"/>
        </w:rPr>
        <w:t>, e</w:t>
      </w:r>
      <w:r w:rsidR="0004384A">
        <w:rPr>
          <w:rFonts w:ascii="Arial" w:eastAsia="Arial" w:hAnsi="Arial" w:cs="Arial"/>
        </w:rPr>
        <w:t xml:space="preserve">ntre </w:t>
      </w:r>
      <w:r w:rsidR="0004384A" w:rsidRPr="009A272E">
        <w:rPr>
          <w:rFonts w:ascii="Arial" w:eastAsia="Arial" w:hAnsi="Arial" w:cs="Arial"/>
          <w:b/>
          <w:bCs/>
        </w:rPr>
        <w:t>riesgos del trabajo</w:t>
      </w:r>
      <w:r w:rsidR="0004384A">
        <w:rPr>
          <w:rFonts w:ascii="Arial" w:eastAsia="Arial" w:hAnsi="Arial" w:cs="Arial"/>
        </w:rPr>
        <w:t xml:space="preserve"> y </w:t>
      </w:r>
      <w:r w:rsidR="0004384A" w:rsidRPr="009A272E">
        <w:rPr>
          <w:rFonts w:ascii="Arial" w:eastAsia="Arial" w:hAnsi="Arial" w:cs="Arial"/>
          <w:b/>
          <w:bCs/>
        </w:rPr>
        <w:t>despido</w:t>
      </w:r>
      <w:r w:rsidR="0004384A">
        <w:rPr>
          <w:rFonts w:ascii="Arial" w:eastAsia="Arial" w:hAnsi="Arial" w:cs="Arial"/>
        </w:rPr>
        <w:t>, las dos principales causa</w:t>
      </w:r>
      <w:r w:rsidR="004D6E66">
        <w:rPr>
          <w:rFonts w:ascii="Arial" w:eastAsia="Arial" w:hAnsi="Arial" w:cs="Arial"/>
        </w:rPr>
        <w:t>s</w:t>
      </w:r>
      <w:r w:rsidR="0004384A">
        <w:rPr>
          <w:rFonts w:ascii="Arial" w:eastAsia="Arial" w:hAnsi="Arial" w:cs="Arial"/>
        </w:rPr>
        <w:t xml:space="preserve"> de juicio laboral, el stock de juicios pendientes </w:t>
      </w:r>
      <w:r>
        <w:rPr>
          <w:rFonts w:ascii="Arial" w:eastAsia="Arial" w:hAnsi="Arial" w:cs="Arial"/>
        </w:rPr>
        <w:t>asciende a</w:t>
      </w:r>
      <w:r w:rsidR="0004384A">
        <w:rPr>
          <w:rFonts w:ascii="Arial" w:eastAsia="Arial" w:hAnsi="Arial" w:cs="Arial"/>
        </w:rPr>
        <w:t xml:space="preserve"> </w:t>
      </w:r>
      <w:r w:rsidR="005442C4" w:rsidRPr="009A272E">
        <w:rPr>
          <w:rFonts w:ascii="Arial" w:eastAsia="Arial" w:hAnsi="Arial" w:cs="Arial"/>
          <w:b/>
          <w:bCs/>
        </w:rPr>
        <w:t>637.330</w:t>
      </w:r>
      <w:r w:rsidR="005442C4">
        <w:rPr>
          <w:rFonts w:ascii="Arial" w:eastAsia="Arial" w:hAnsi="Arial" w:cs="Arial"/>
        </w:rPr>
        <w:t xml:space="preserve"> expedientes</w:t>
      </w:r>
      <w:r w:rsidR="005A687A">
        <w:rPr>
          <w:rFonts w:ascii="Arial" w:eastAsia="Arial" w:hAnsi="Arial" w:cs="Arial"/>
        </w:rPr>
        <w:t>.</w:t>
      </w:r>
    </w:p>
    <w:p w14:paraId="1E5D0788" w14:textId="1914B822" w:rsidR="00B43558" w:rsidRDefault="005A687A" w:rsidP="006F1712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 xml:space="preserve">Estos datos muestran </w:t>
      </w:r>
      <w:r w:rsidR="00030DEE">
        <w:rPr>
          <w:rFonts w:ascii="Arial" w:eastAsia="Arial" w:hAnsi="Arial" w:cs="Arial"/>
        </w:rPr>
        <w:t>que</w:t>
      </w:r>
      <w:r w:rsidR="006F1712">
        <w:rPr>
          <w:rFonts w:ascii="Arial" w:eastAsia="Arial" w:hAnsi="Arial" w:cs="Arial"/>
        </w:rPr>
        <w:t xml:space="preserve"> la magnitud de </w:t>
      </w:r>
      <w:r w:rsidR="0042154E">
        <w:rPr>
          <w:rFonts w:ascii="Arial" w:eastAsia="Arial" w:hAnsi="Arial" w:cs="Arial"/>
        </w:rPr>
        <w:t>juicios</w:t>
      </w:r>
      <w:r w:rsidR="006F1712">
        <w:rPr>
          <w:rFonts w:ascii="Arial" w:eastAsia="Arial" w:hAnsi="Arial" w:cs="Arial"/>
        </w:rPr>
        <w:t xml:space="preserve"> laborales</w:t>
      </w:r>
      <w:r w:rsidR="00065793">
        <w:rPr>
          <w:rFonts w:ascii="Arial" w:eastAsia="Arial" w:hAnsi="Arial" w:cs="Arial"/>
        </w:rPr>
        <w:t xml:space="preserve"> </w:t>
      </w:r>
      <w:r w:rsidR="0042154E">
        <w:rPr>
          <w:rFonts w:ascii="Arial" w:eastAsia="Arial" w:hAnsi="Arial" w:cs="Arial"/>
        </w:rPr>
        <w:t xml:space="preserve">acumulados </w:t>
      </w:r>
      <w:r w:rsidR="004D6E66">
        <w:rPr>
          <w:rFonts w:ascii="Arial" w:eastAsia="Arial" w:hAnsi="Arial" w:cs="Arial"/>
        </w:rPr>
        <w:t xml:space="preserve">es </w:t>
      </w:r>
      <w:r w:rsidR="007C77AA">
        <w:rPr>
          <w:rFonts w:ascii="Arial" w:eastAsia="Arial" w:hAnsi="Arial" w:cs="Arial"/>
        </w:rPr>
        <w:t>descomunal</w:t>
      </w:r>
      <w:r w:rsidR="00065793">
        <w:rPr>
          <w:rFonts w:ascii="Arial" w:eastAsia="Arial" w:hAnsi="Arial" w:cs="Arial"/>
        </w:rPr>
        <w:t xml:space="preserve">. </w:t>
      </w:r>
      <w:r w:rsidR="00B43558">
        <w:rPr>
          <w:rFonts w:ascii="Arial" w:eastAsia="Arial" w:hAnsi="Arial" w:cs="Arial"/>
        </w:rPr>
        <w:t>Considerando que h</w:t>
      </w:r>
      <w:r w:rsidR="00812BBA">
        <w:rPr>
          <w:rFonts w:ascii="Arial" w:eastAsia="Arial" w:hAnsi="Arial" w:cs="Arial"/>
        </w:rPr>
        <w:t xml:space="preserve">ay </w:t>
      </w:r>
      <w:r w:rsidR="004D6E66">
        <w:rPr>
          <w:rFonts w:ascii="Arial" w:eastAsia="Arial" w:hAnsi="Arial" w:cs="Arial"/>
        </w:rPr>
        <w:t xml:space="preserve">unos </w:t>
      </w:r>
      <w:r w:rsidR="00812BBA">
        <w:rPr>
          <w:rFonts w:ascii="Arial" w:eastAsia="Arial" w:hAnsi="Arial" w:cs="Arial"/>
        </w:rPr>
        <w:t>6,3 millones de asalariados registrados en empresas privadas</w:t>
      </w:r>
      <w:r w:rsidR="00B43558">
        <w:rPr>
          <w:rFonts w:ascii="Arial" w:eastAsia="Arial" w:hAnsi="Arial" w:cs="Arial"/>
        </w:rPr>
        <w:t xml:space="preserve">, </w:t>
      </w:r>
      <w:r w:rsidR="00812BBA">
        <w:rPr>
          <w:rFonts w:ascii="Arial" w:eastAsia="Arial" w:hAnsi="Arial" w:cs="Arial"/>
        </w:rPr>
        <w:t>el stock de juicios pendientes asciende a aproximadamente el 10% de los trabajadores</w:t>
      </w:r>
      <w:r w:rsidR="00065793">
        <w:rPr>
          <w:rFonts w:ascii="Arial" w:eastAsia="Arial" w:hAnsi="Arial" w:cs="Arial"/>
        </w:rPr>
        <w:t>.</w:t>
      </w:r>
      <w:r w:rsidR="00812BBA">
        <w:rPr>
          <w:rFonts w:ascii="Arial" w:eastAsia="Arial" w:hAnsi="Arial" w:cs="Arial"/>
        </w:rPr>
        <w:t xml:space="preserve"> </w:t>
      </w:r>
      <w:r w:rsidR="00B43558">
        <w:rPr>
          <w:rFonts w:ascii="Arial" w:eastAsia="Arial" w:hAnsi="Arial" w:cs="Arial"/>
        </w:rPr>
        <w:t xml:space="preserve">No es exagerado afirmar que </w:t>
      </w:r>
      <w:r w:rsidR="00A53076" w:rsidRPr="0062456C">
        <w:rPr>
          <w:rFonts w:ascii="Arial" w:eastAsia="Arial" w:hAnsi="Arial" w:cs="Arial"/>
          <w:b/>
        </w:rPr>
        <w:t>los juicios laborales son</w:t>
      </w:r>
      <w:r w:rsidR="00B43558" w:rsidRPr="0062456C">
        <w:rPr>
          <w:rFonts w:ascii="Arial" w:eastAsia="Arial" w:hAnsi="Arial" w:cs="Arial"/>
          <w:b/>
        </w:rPr>
        <w:t xml:space="preserve"> una deuda impagable bajo los esquemas de actualización que viene</w:t>
      </w:r>
      <w:r w:rsidR="0062456C">
        <w:rPr>
          <w:rFonts w:ascii="Arial" w:eastAsia="Arial" w:hAnsi="Arial" w:cs="Arial"/>
          <w:b/>
        </w:rPr>
        <w:t>n</w:t>
      </w:r>
      <w:r w:rsidR="00B43558" w:rsidRPr="0062456C">
        <w:rPr>
          <w:rFonts w:ascii="Arial" w:eastAsia="Arial" w:hAnsi="Arial" w:cs="Arial"/>
          <w:b/>
        </w:rPr>
        <w:t xml:space="preserve"> aplicando las justicias provinciales</w:t>
      </w:r>
      <w:r w:rsidR="00B43558">
        <w:rPr>
          <w:rFonts w:ascii="Arial" w:eastAsia="Arial" w:hAnsi="Arial" w:cs="Arial"/>
        </w:rPr>
        <w:t xml:space="preserve">. </w:t>
      </w:r>
    </w:p>
    <w:p w14:paraId="34BB11A1" w14:textId="266F34B9" w:rsidR="001C34AC" w:rsidRDefault="00812BBA" w:rsidP="00705DFF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62456C">
        <w:rPr>
          <w:rFonts w:ascii="Arial" w:eastAsia="Arial" w:hAnsi="Arial" w:cs="Arial"/>
          <w:bCs/>
        </w:rPr>
        <w:t>La ma</w:t>
      </w:r>
      <w:r w:rsidR="00B43558" w:rsidRPr="0062456C">
        <w:rPr>
          <w:rFonts w:ascii="Arial" w:eastAsia="Arial" w:hAnsi="Arial" w:cs="Arial"/>
          <w:bCs/>
        </w:rPr>
        <w:t>nera de desactivar este fenómeno es eliminando los factores que genera</w:t>
      </w:r>
      <w:r w:rsidR="009A272E" w:rsidRPr="0062456C">
        <w:rPr>
          <w:rFonts w:ascii="Arial" w:eastAsia="Arial" w:hAnsi="Arial" w:cs="Arial"/>
          <w:bCs/>
        </w:rPr>
        <w:t>n</w:t>
      </w:r>
      <w:r w:rsidR="00B43558" w:rsidRPr="0062456C">
        <w:rPr>
          <w:rFonts w:ascii="Arial" w:eastAsia="Arial" w:hAnsi="Arial" w:cs="Arial"/>
          <w:bCs/>
        </w:rPr>
        <w:t xml:space="preserve"> una exagerada cantidad de juicios</w:t>
      </w:r>
      <w:r w:rsidR="00B43558">
        <w:rPr>
          <w:rFonts w:ascii="Arial" w:eastAsia="Arial" w:hAnsi="Arial" w:cs="Arial"/>
        </w:rPr>
        <w:t xml:space="preserve">. Pero </w:t>
      </w:r>
      <w:r w:rsidR="00A53076">
        <w:rPr>
          <w:rFonts w:ascii="Arial" w:eastAsia="Arial" w:hAnsi="Arial" w:cs="Arial"/>
        </w:rPr>
        <w:t xml:space="preserve">como </w:t>
      </w:r>
      <w:r w:rsidR="00B43558">
        <w:rPr>
          <w:rFonts w:ascii="Arial" w:eastAsia="Arial" w:hAnsi="Arial" w:cs="Arial"/>
        </w:rPr>
        <w:t>esto opera hacia el futuro</w:t>
      </w:r>
      <w:r w:rsidR="009A272E">
        <w:rPr>
          <w:rFonts w:ascii="Arial" w:eastAsia="Arial" w:hAnsi="Arial" w:cs="Arial"/>
        </w:rPr>
        <w:t>,</w:t>
      </w:r>
      <w:r w:rsidR="00B43558">
        <w:rPr>
          <w:rFonts w:ascii="Arial" w:eastAsia="Arial" w:hAnsi="Arial" w:cs="Arial"/>
        </w:rPr>
        <w:t xml:space="preserve"> es necesario </w:t>
      </w:r>
      <w:r w:rsidR="00B43558" w:rsidRPr="0062456C">
        <w:rPr>
          <w:rFonts w:ascii="Arial" w:eastAsia="Arial" w:hAnsi="Arial" w:cs="Arial"/>
          <w:b/>
        </w:rPr>
        <w:t xml:space="preserve">encontrar </w:t>
      </w:r>
      <w:r w:rsidR="00AD5F41">
        <w:rPr>
          <w:rFonts w:ascii="Arial" w:eastAsia="Arial" w:hAnsi="Arial" w:cs="Arial"/>
          <w:b/>
        </w:rPr>
        <w:t>la forma</w:t>
      </w:r>
      <w:r w:rsidR="00B43558" w:rsidRPr="0062456C">
        <w:rPr>
          <w:rFonts w:ascii="Arial" w:eastAsia="Arial" w:hAnsi="Arial" w:cs="Arial"/>
          <w:b/>
        </w:rPr>
        <w:t xml:space="preserve"> de hacer pagable el pasivo acumulado por los juicios </w:t>
      </w:r>
      <w:r w:rsidR="009A272E" w:rsidRPr="0062456C">
        <w:rPr>
          <w:rFonts w:ascii="Arial" w:eastAsia="Arial" w:hAnsi="Arial" w:cs="Arial"/>
          <w:b/>
        </w:rPr>
        <w:t>pendientes de sentencia</w:t>
      </w:r>
      <w:r w:rsidR="00B43558">
        <w:rPr>
          <w:rFonts w:ascii="Arial" w:eastAsia="Arial" w:hAnsi="Arial" w:cs="Arial"/>
        </w:rPr>
        <w:t>. Para ello</w:t>
      </w:r>
      <w:r w:rsidR="009A272E">
        <w:rPr>
          <w:rFonts w:ascii="Arial" w:eastAsia="Arial" w:hAnsi="Arial" w:cs="Arial"/>
        </w:rPr>
        <w:t>,</w:t>
      </w:r>
      <w:r w:rsidR="00B43558">
        <w:rPr>
          <w:rFonts w:ascii="Arial" w:eastAsia="Arial" w:hAnsi="Arial" w:cs="Arial"/>
        </w:rPr>
        <w:t xml:space="preserve"> e</w:t>
      </w:r>
      <w:r w:rsidR="001025B2">
        <w:rPr>
          <w:rFonts w:ascii="Arial" w:eastAsia="Arial" w:hAnsi="Arial" w:cs="Arial"/>
        </w:rPr>
        <w:t xml:space="preserve">l Código Civil y Comercial de la Nación, en su artículo 768, </w:t>
      </w:r>
      <w:r w:rsidR="00B91A77">
        <w:rPr>
          <w:rFonts w:ascii="Arial" w:eastAsia="Arial" w:hAnsi="Arial" w:cs="Arial"/>
        </w:rPr>
        <w:t xml:space="preserve">habilita al Banco Central a fijar </w:t>
      </w:r>
      <w:r w:rsidR="009A272E">
        <w:rPr>
          <w:rFonts w:ascii="Arial" w:eastAsia="Arial" w:hAnsi="Arial" w:cs="Arial"/>
        </w:rPr>
        <w:t xml:space="preserve">una </w:t>
      </w:r>
      <w:r w:rsidR="00B91A77">
        <w:rPr>
          <w:rFonts w:ascii="Arial" w:eastAsia="Arial" w:hAnsi="Arial" w:cs="Arial"/>
        </w:rPr>
        <w:t xml:space="preserve">tasa de intereses moratorios </w:t>
      </w:r>
      <w:r w:rsidR="009A272E">
        <w:rPr>
          <w:rFonts w:ascii="Arial" w:eastAsia="Arial" w:hAnsi="Arial" w:cs="Arial"/>
        </w:rPr>
        <w:t xml:space="preserve">de referencia </w:t>
      </w:r>
      <w:r w:rsidR="00B91A77">
        <w:rPr>
          <w:rFonts w:ascii="Arial" w:eastAsia="Arial" w:hAnsi="Arial" w:cs="Arial"/>
        </w:rPr>
        <w:t xml:space="preserve">para uso de los tribunales en la actualización de deudas. </w:t>
      </w:r>
      <w:r w:rsidR="001C34AC" w:rsidRPr="007C77AA">
        <w:rPr>
          <w:rFonts w:ascii="Arial" w:eastAsia="Arial" w:hAnsi="Arial" w:cs="Arial"/>
        </w:rPr>
        <w:t xml:space="preserve">Extremar la prudencia </w:t>
      </w:r>
      <w:r w:rsidR="009A272E" w:rsidRPr="007C77AA">
        <w:rPr>
          <w:rFonts w:ascii="Arial" w:eastAsia="Arial" w:hAnsi="Arial" w:cs="Arial"/>
        </w:rPr>
        <w:t>en la definición de esta tasa de interés</w:t>
      </w:r>
      <w:r w:rsidR="001C34AC" w:rsidRPr="007C77AA">
        <w:rPr>
          <w:rFonts w:ascii="Arial" w:eastAsia="Arial" w:hAnsi="Arial" w:cs="Arial"/>
        </w:rPr>
        <w:t xml:space="preserve"> es la única manera de hacer viable el pago de </w:t>
      </w:r>
      <w:r w:rsidR="00AC0F63" w:rsidRPr="007C77AA">
        <w:rPr>
          <w:rFonts w:ascii="Arial" w:eastAsia="Arial" w:hAnsi="Arial" w:cs="Arial"/>
        </w:rPr>
        <w:t>l</w:t>
      </w:r>
      <w:r w:rsidR="001C34AC" w:rsidRPr="007C77AA">
        <w:rPr>
          <w:rFonts w:ascii="Arial" w:eastAsia="Arial" w:hAnsi="Arial" w:cs="Arial"/>
        </w:rPr>
        <w:t>os juicios</w:t>
      </w:r>
      <w:r w:rsidR="00AC0F63" w:rsidRPr="007C77AA">
        <w:rPr>
          <w:rFonts w:ascii="Arial" w:eastAsia="Arial" w:hAnsi="Arial" w:cs="Arial"/>
        </w:rPr>
        <w:t xml:space="preserve"> acumulados</w:t>
      </w:r>
      <w:r w:rsidR="001C34AC">
        <w:rPr>
          <w:rFonts w:ascii="Arial" w:eastAsia="Arial" w:hAnsi="Arial" w:cs="Arial"/>
        </w:rPr>
        <w:t>.</w:t>
      </w:r>
    </w:p>
    <w:p w14:paraId="63834F7A" w14:textId="63C36E02" w:rsidR="000F0002" w:rsidRDefault="00B91A77" w:rsidP="00705DFF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En este orden, el Banco Central abrió a consulta pública un proyecto de Tasa de Intereses Moratorios (TIM). </w:t>
      </w:r>
      <w:r w:rsidR="00AD5F41">
        <w:rPr>
          <w:rFonts w:ascii="Arial" w:eastAsia="Arial" w:hAnsi="Arial" w:cs="Arial"/>
        </w:rPr>
        <w:t>La</w:t>
      </w:r>
      <w:r>
        <w:rPr>
          <w:rFonts w:ascii="Arial" w:eastAsia="Arial" w:hAnsi="Arial" w:cs="Arial"/>
        </w:rPr>
        <w:t xml:space="preserve"> TIM propuest</w:t>
      </w:r>
      <w:r w:rsidR="00AD5F41">
        <w:rPr>
          <w:rFonts w:ascii="Arial" w:eastAsia="Arial" w:hAnsi="Arial" w:cs="Arial"/>
        </w:rPr>
        <w:t>a</w:t>
      </w:r>
      <w:r>
        <w:rPr>
          <w:rFonts w:ascii="Arial" w:eastAsia="Arial" w:hAnsi="Arial" w:cs="Arial"/>
        </w:rPr>
        <w:t xml:space="preserve"> considera un 50% de tasa de depósitos (pasiva) y un 50% de tasa de préstamos (activa) con piso y tope de</w:t>
      </w:r>
      <w:r w:rsidR="003B5DDF">
        <w:rPr>
          <w:rFonts w:ascii="Arial" w:eastAsia="Arial" w:hAnsi="Arial" w:cs="Arial"/>
        </w:rPr>
        <w:t xml:space="preserve"> CER más</w:t>
      </w:r>
      <w:r>
        <w:rPr>
          <w:rFonts w:ascii="Arial" w:eastAsia="Arial" w:hAnsi="Arial" w:cs="Arial"/>
        </w:rPr>
        <w:t xml:space="preserve"> 3% anual. El objetivo es preservar dentro de un rango razonable el valor real de las acreencias, evitando </w:t>
      </w:r>
      <w:r w:rsidR="001C34AC">
        <w:rPr>
          <w:rFonts w:ascii="Arial" w:eastAsia="Arial" w:hAnsi="Arial" w:cs="Arial"/>
        </w:rPr>
        <w:t>arbitrariedades que provoquen</w:t>
      </w:r>
      <w:r>
        <w:rPr>
          <w:rFonts w:ascii="Arial" w:eastAsia="Arial" w:hAnsi="Arial" w:cs="Arial"/>
        </w:rPr>
        <w:t xml:space="preserve"> incrementos o pérdidas exageradas </w:t>
      </w:r>
      <w:r w:rsidR="001C34AC">
        <w:rPr>
          <w:rFonts w:ascii="Arial" w:eastAsia="Arial" w:hAnsi="Arial" w:cs="Arial"/>
        </w:rPr>
        <w:t xml:space="preserve">en los montos indemnizatorios. </w:t>
      </w:r>
      <w:r w:rsidR="001C34AC" w:rsidRPr="0062456C">
        <w:rPr>
          <w:rFonts w:ascii="Arial" w:eastAsia="Arial" w:hAnsi="Arial" w:cs="Arial"/>
          <w:b/>
        </w:rPr>
        <w:t>El esquema es razonable a futuro, suponiendo que se eliminan los factores que generan litigiosidad espuria</w:t>
      </w:r>
      <w:r w:rsidR="00DF066A" w:rsidRPr="0062456C">
        <w:rPr>
          <w:rFonts w:ascii="Arial" w:eastAsia="Arial" w:hAnsi="Arial" w:cs="Arial"/>
          <w:b/>
        </w:rPr>
        <w:t xml:space="preserve">, pero </w:t>
      </w:r>
      <w:r w:rsidR="0042154E" w:rsidRPr="0062456C">
        <w:rPr>
          <w:rFonts w:ascii="Arial" w:eastAsia="Arial" w:hAnsi="Arial" w:cs="Arial"/>
          <w:b/>
        </w:rPr>
        <w:t>colisiona con</w:t>
      </w:r>
      <w:r w:rsidR="00DF066A" w:rsidRPr="0062456C">
        <w:rPr>
          <w:rFonts w:ascii="Arial" w:eastAsia="Arial" w:hAnsi="Arial" w:cs="Arial"/>
          <w:b/>
        </w:rPr>
        <w:t xml:space="preserve"> el objetivo de hacer pagable </w:t>
      </w:r>
      <w:r w:rsidR="001C34AC" w:rsidRPr="0062456C">
        <w:rPr>
          <w:rFonts w:ascii="Arial" w:eastAsia="Arial" w:hAnsi="Arial" w:cs="Arial"/>
          <w:b/>
        </w:rPr>
        <w:t>el enorme pasivo acumulado</w:t>
      </w:r>
      <w:r w:rsidR="001C34AC">
        <w:rPr>
          <w:rFonts w:ascii="Arial" w:eastAsia="Arial" w:hAnsi="Arial" w:cs="Arial"/>
        </w:rPr>
        <w:t xml:space="preserve">. </w:t>
      </w:r>
    </w:p>
    <w:p w14:paraId="1BA2EFD7" w14:textId="2792DDA1" w:rsidR="0061676C" w:rsidRDefault="000F0002" w:rsidP="006033E8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62456C">
        <w:rPr>
          <w:rFonts w:ascii="Arial" w:eastAsia="Arial" w:hAnsi="Arial" w:cs="Arial"/>
          <w:b/>
        </w:rPr>
        <w:t xml:space="preserve">Un </w:t>
      </w:r>
      <w:r w:rsidR="001C34AC" w:rsidRPr="0062456C">
        <w:rPr>
          <w:rFonts w:ascii="Arial" w:eastAsia="Arial" w:hAnsi="Arial" w:cs="Arial"/>
          <w:b/>
        </w:rPr>
        <w:t>es</w:t>
      </w:r>
      <w:r w:rsidR="0061676C" w:rsidRPr="0062456C">
        <w:rPr>
          <w:rFonts w:ascii="Arial" w:eastAsia="Arial" w:hAnsi="Arial" w:cs="Arial"/>
          <w:b/>
        </w:rPr>
        <w:t>quem</w:t>
      </w:r>
      <w:r w:rsidR="001C34AC" w:rsidRPr="0062456C">
        <w:rPr>
          <w:rFonts w:ascii="Arial" w:eastAsia="Arial" w:hAnsi="Arial" w:cs="Arial"/>
          <w:b/>
        </w:rPr>
        <w:t xml:space="preserve">a </w:t>
      </w:r>
      <w:r w:rsidR="00DF066A" w:rsidRPr="0062456C">
        <w:rPr>
          <w:rFonts w:ascii="Arial" w:eastAsia="Arial" w:hAnsi="Arial" w:cs="Arial"/>
          <w:b/>
        </w:rPr>
        <w:t xml:space="preserve">más consistente con la </w:t>
      </w:r>
      <w:r w:rsidR="00AC0F63" w:rsidRPr="0062456C">
        <w:rPr>
          <w:rFonts w:ascii="Arial" w:eastAsia="Arial" w:hAnsi="Arial" w:cs="Arial"/>
          <w:b/>
        </w:rPr>
        <w:t xml:space="preserve">crítica </w:t>
      </w:r>
      <w:r w:rsidR="00DF066A" w:rsidRPr="0062456C">
        <w:rPr>
          <w:rFonts w:ascii="Arial" w:eastAsia="Arial" w:hAnsi="Arial" w:cs="Arial"/>
          <w:b/>
        </w:rPr>
        <w:t xml:space="preserve">situación derivada de la acumulación </w:t>
      </w:r>
      <w:r w:rsidR="0042154E" w:rsidRPr="0062456C">
        <w:rPr>
          <w:rFonts w:ascii="Arial" w:eastAsia="Arial" w:hAnsi="Arial" w:cs="Arial"/>
          <w:b/>
        </w:rPr>
        <w:t>de juicios</w:t>
      </w:r>
      <w:r w:rsidR="00DF066A" w:rsidRPr="0062456C">
        <w:rPr>
          <w:rFonts w:ascii="Arial" w:eastAsia="Arial" w:hAnsi="Arial" w:cs="Arial"/>
          <w:b/>
        </w:rPr>
        <w:t xml:space="preserve"> </w:t>
      </w:r>
      <w:r w:rsidR="0061676C" w:rsidRPr="0062456C">
        <w:rPr>
          <w:rFonts w:ascii="Arial" w:eastAsia="Arial" w:hAnsi="Arial" w:cs="Arial"/>
          <w:b/>
        </w:rPr>
        <w:t xml:space="preserve">es establecer </w:t>
      </w:r>
      <w:r w:rsidR="00DF066A" w:rsidRPr="0062456C">
        <w:rPr>
          <w:rFonts w:ascii="Arial" w:eastAsia="Arial" w:hAnsi="Arial" w:cs="Arial"/>
          <w:b/>
        </w:rPr>
        <w:t xml:space="preserve">un índice </w:t>
      </w:r>
      <w:r w:rsidR="0061676C" w:rsidRPr="0062456C">
        <w:rPr>
          <w:rFonts w:ascii="Arial" w:eastAsia="Arial" w:hAnsi="Arial" w:cs="Arial"/>
          <w:b/>
        </w:rPr>
        <w:t>combinado</w:t>
      </w:r>
      <w:r w:rsidR="0061676C">
        <w:rPr>
          <w:rFonts w:ascii="Arial" w:eastAsia="Arial" w:hAnsi="Arial" w:cs="Arial"/>
        </w:rPr>
        <w:t xml:space="preserve">. Hasta el 31 de diciembre del 2025 aplicar </w:t>
      </w:r>
      <w:r w:rsidR="00812BBA">
        <w:rPr>
          <w:rFonts w:ascii="Arial" w:eastAsia="Arial" w:hAnsi="Arial" w:cs="Arial"/>
        </w:rPr>
        <w:t xml:space="preserve">la Comunicación BCRA 14.290 </w:t>
      </w:r>
      <w:r w:rsidR="0061676C">
        <w:rPr>
          <w:rFonts w:ascii="Arial" w:eastAsia="Arial" w:hAnsi="Arial" w:cs="Arial"/>
        </w:rPr>
        <w:t xml:space="preserve">que </w:t>
      </w:r>
      <w:r w:rsidR="00A43694">
        <w:rPr>
          <w:rFonts w:ascii="Arial" w:eastAsia="Arial" w:hAnsi="Arial" w:cs="Arial"/>
        </w:rPr>
        <w:t xml:space="preserve">combina tasas de </w:t>
      </w:r>
      <w:r w:rsidR="00AD5F41">
        <w:rPr>
          <w:rFonts w:ascii="Arial" w:eastAsia="Arial" w:hAnsi="Arial" w:cs="Arial"/>
        </w:rPr>
        <w:t>interés</w:t>
      </w:r>
      <w:r w:rsidR="00812BBA">
        <w:rPr>
          <w:rFonts w:ascii="Arial" w:eastAsia="Arial" w:hAnsi="Arial" w:cs="Arial"/>
        </w:rPr>
        <w:t xml:space="preserve"> de depósitos en </w:t>
      </w:r>
      <w:proofErr w:type="gramStart"/>
      <w:r w:rsidR="00812BBA">
        <w:rPr>
          <w:rFonts w:ascii="Arial" w:eastAsia="Arial" w:hAnsi="Arial" w:cs="Arial"/>
        </w:rPr>
        <w:t>caja</w:t>
      </w:r>
      <w:proofErr w:type="gramEnd"/>
      <w:r w:rsidR="00812BBA">
        <w:rPr>
          <w:rFonts w:ascii="Arial" w:eastAsia="Arial" w:hAnsi="Arial" w:cs="Arial"/>
        </w:rPr>
        <w:t xml:space="preserve"> de ahorro y plazos fijos </w:t>
      </w:r>
      <w:r w:rsidR="0061676C">
        <w:rPr>
          <w:rFonts w:ascii="Arial" w:eastAsia="Arial" w:hAnsi="Arial" w:cs="Arial"/>
        </w:rPr>
        <w:t>y empalmar</w:t>
      </w:r>
      <w:r w:rsidR="0061676C" w:rsidRPr="0061676C">
        <w:rPr>
          <w:rFonts w:ascii="Arial" w:eastAsia="Arial" w:hAnsi="Arial" w:cs="Arial"/>
        </w:rPr>
        <w:t xml:space="preserve"> </w:t>
      </w:r>
      <w:r w:rsidR="0061676C">
        <w:rPr>
          <w:rFonts w:ascii="Arial" w:eastAsia="Arial" w:hAnsi="Arial" w:cs="Arial"/>
        </w:rPr>
        <w:t xml:space="preserve">este índice, a partir de enero 2026, con </w:t>
      </w:r>
      <w:r w:rsidR="00812BBA">
        <w:rPr>
          <w:rFonts w:ascii="Arial" w:eastAsia="Arial" w:hAnsi="Arial" w:cs="Arial"/>
        </w:rPr>
        <w:t xml:space="preserve">la fórmula </w:t>
      </w:r>
      <w:r w:rsidR="0061676C">
        <w:rPr>
          <w:rFonts w:ascii="Arial" w:eastAsia="Arial" w:hAnsi="Arial" w:cs="Arial"/>
        </w:rPr>
        <w:t xml:space="preserve">prevista en </w:t>
      </w:r>
      <w:r w:rsidR="00812BBA">
        <w:rPr>
          <w:rFonts w:ascii="Arial" w:eastAsia="Arial" w:hAnsi="Arial" w:cs="Arial"/>
        </w:rPr>
        <w:t>el Decreto 70</w:t>
      </w:r>
      <w:r w:rsidR="00EF23D2">
        <w:rPr>
          <w:rFonts w:ascii="Arial" w:eastAsia="Arial" w:hAnsi="Arial" w:cs="Arial"/>
        </w:rPr>
        <w:t>/2023</w:t>
      </w:r>
      <w:r w:rsidR="00812BBA">
        <w:rPr>
          <w:rFonts w:ascii="Arial" w:eastAsia="Arial" w:hAnsi="Arial" w:cs="Arial"/>
        </w:rPr>
        <w:t xml:space="preserve"> </w:t>
      </w:r>
      <w:r w:rsidR="0061676C">
        <w:rPr>
          <w:rFonts w:ascii="Arial" w:eastAsia="Arial" w:hAnsi="Arial" w:cs="Arial"/>
        </w:rPr>
        <w:t xml:space="preserve">consistente en </w:t>
      </w:r>
      <w:r w:rsidR="00812BBA">
        <w:rPr>
          <w:rFonts w:ascii="Arial" w:eastAsia="Arial" w:hAnsi="Arial" w:cs="Arial"/>
        </w:rPr>
        <w:t>IPC + 3% anual</w:t>
      </w:r>
      <w:r w:rsidR="00830670">
        <w:rPr>
          <w:rFonts w:ascii="Arial" w:eastAsia="Arial" w:hAnsi="Arial" w:cs="Arial"/>
        </w:rPr>
        <w:t>.</w:t>
      </w:r>
      <w:r w:rsidR="00D75421">
        <w:rPr>
          <w:rFonts w:ascii="Arial" w:eastAsia="Arial" w:hAnsi="Arial" w:cs="Arial"/>
        </w:rPr>
        <w:t xml:space="preserve"> </w:t>
      </w:r>
      <w:r w:rsidR="0061676C">
        <w:rPr>
          <w:rFonts w:ascii="Arial" w:eastAsia="Arial" w:hAnsi="Arial" w:cs="Arial"/>
        </w:rPr>
        <w:t xml:space="preserve">De esta manera, se establece </w:t>
      </w:r>
      <w:r w:rsidR="0061676C" w:rsidRPr="0062456C">
        <w:rPr>
          <w:rFonts w:ascii="Arial" w:eastAsia="Arial" w:hAnsi="Arial" w:cs="Arial"/>
          <w:b/>
        </w:rPr>
        <w:t xml:space="preserve">un criterio razonable a futuro </w:t>
      </w:r>
      <w:r w:rsidR="00AC0F63" w:rsidRPr="0062456C">
        <w:rPr>
          <w:rFonts w:ascii="Arial" w:eastAsia="Arial" w:hAnsi="Arial" w:cs="Arial"/>
          <w:b/>
        </w:rPr>
        <w:t>con un mecanismo</w:t>
      </w:r>
      <w:r w:rsidR="0061676C" w:rsidRPr="0062456C">
        <w:rPr>
          <w:rFonts w:ascii="Arial" w:eastAsia="Arial" w:hAnsi="Arial" w:cs="Arial"/>
          <w:b/>
        </w:rPr>
        <w:t xml:space="preserve"> viable para los pasivos acumulados en el pasado</w:t>
      </w:r>
      <w:r w:rsidR="0061676C">
        <w:rPr>
          <w:rFonts w:ascii="Arial" w:eastAsia="Arial" w:hAnsi="Arial" w:cs="Arial"/>
        </w:rPr>
        <w:t>.</w:t>
      </w:r>
    </w:p>
    <w:p w14:paraId="06D855B1" w14:textId="5AA6C7E6" w:rsidR="00FC6E59" w:rsidRDefault="006B6ED5" w:rsidP="00705DFF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La Comunicación BCRA 14.290 fue creada en 1991 para solucionar las consecuencias de una situación excepcional (la hiperinflación de 1989 y 1990). Este mismo instrumento sirve</w:t>
      </w:r>
      <w:r w:rsidR="00053FD8">
        <w:rPr>
          <w:rFonts w:ascii="Arial" w:eastAsia="Arial" w:hAnsi="Arial" w:cs="Arial"/>
        </w:rPr>
        <w:t xml:space="preserve"> ahora</w:t>
      </w:r>
      <w:r>
        <w:rPr>
          <w:rFonts w:ascii="Arial" w:eastAsia="Arial" w:hAnsi="Arial" w:cs="Arial"/>
        </w:rPr>
        <w:t xml:space="preserve"> para salir de una situación excepcional similar (la alta inflación del 2023 y 2024</w:t>
      </w:r>
      <w:r w:rsidR="00A43694">
        <w:rPr>
          <w:rFonts w:ascii="Arial" w:eastAsia="Arial" w:hAnsi="Arial" w:cs="Arial"/>
        </w:rPr>
        <w:t xml:space="preserve"> y la enorme acumulación de juicios</w:t>
      </w:r>
      <w:r>
        <w:rPr>
          <w:rFonts w:ascii="Arial" w:eastAsia="Arial" w:hAnsi="Arial" w:cs="Arial"/>
        </w:rPr>
        <w:t xml:space="preserve">). </w:t>
      </w:r>
      <w:r w:rsidRPr="003F7D8F">
        <w:rPr>
          <w:rFonts w:ascii="Arial" w:eastAsia="Arial" w:hAnsi="Arial" w:cs="Arial"/>
          <w:b/>
        </w:rPr>
        <w:t xml:space="preserve">No establecer un mecanismo de emergencia para atender una situación de emergencia </w:t>
      </w:r>
      <w:r w:rsidR="00A43694" w:rsidRPr="003F7D8F">
        <w:rPr>
          <w:rFonts w:ascii="Arial" w:eastAsia="Arial" w:hAnsi="Arial" w:cs="Arial"/>
          <w:b/>
        </w:rPr>
        <w:t>implicará</w:t>
      </w:r>
      <w:r w:rsidRPr="003F7D8F">
        <w:rPr>
          <w:rFonts w:ascii="Arial" w:eastAsia="Arial" w:hAnsi="Arial" w:cs="Arial"/>
          <w:b/>
        </w:rPr>
        <w:t xml:space="preserve"> destrucción de empresas y empleos</w:t>
      </w:r>
      <w:r>
        <w:rPr>
          <w:rFonts w:ascii="Arial" w:eastAsia="Arial" w:hAnsi="Arial" w:cs="Arial"/>
        </w:rPr>
        <w:t>.</w:t>
      </w:r>
    </w:p>
    <w:p w14:paraId="63CDD2F8" w14:textId="01051CC5" w:rsidR="007A1819" w:rsidRDefault="005442C4">
      <w:pPr>
        <w:jc w:val="center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Stock de juicios laborales en las dos principales causales</w:t>
      </w:r>
    </w:p>
    <w:p w14:paraId="7EFC25A1" w14:textId="797ED07A" w:rsidR="00617438" w:rsidRPr="00617438" w:rsidRDefault="005442C4">
      <w:pPr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2025</w:t>
      </w:r>
    </w:p>
    <w:p w14:paraId="6A23689B" w14:textId="61F8AADD" w:rsidR="007A1819" w:rsidRDefault="00B5795D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noProof/>
        </w:rPr>
        <w:drawing>
          <wp:anchor distT="0" distB="0" distL="114300" distR="114300" simplePos="0" relativeHeight="251668480" behindDoc="1" locked="0" layoutInCell="1" allowOverlap="1" wp14:anchorId="7BC6D60A" wp14:editId="646BE9CC">
            <wp:simplePos x="0" y="0"/>
            <wp:positionH relativeFrom="column">
              <wp:posOffset>1136650</wp:posOffset>
            </wp:positionH>
            <wp:positionV relativeFrom="paragraph">
              <wp:posOffset>121285</wp:posOffset>
            </wp:positionV>
            <wp:extent cx="923290" cy="514350"/>
            <wp:effectExtent l="0" t="0" r="0" b="0"/>
            <wp:wrapTight wrapText="bothSides">
              <wp:wrapPolygon edited="0">
                <wp:start x="0" y="0"/>
                <wp:lineTo x="0" y="20000"/>
                <wp:lineTo x="20946" y="20000"/>
                <wp:lineTo x="20946" y="0"/>
                <wp:lineTo x="0" y="0"/>
              </wp:wrapPolygon>
            </wp:wrapTight>
            <wp:docPr id="87733447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29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4478">
        <w:rPr>
          <w:rFonts w:ascii="Arial" w:eastAsia="Arial" w:hAnsi="Arial" w:cs="Arial"/>
          <w:noProof/>
          <w:sz w:val="22"/>
          <w:szCs w:val="22"/>
          <w:lang w:val="en-US"/>
        </w:rPr>
        <w:drawing>
          <wp:anchor distT="0" distB="0" distL="114300" distR="114300" simplePos="0" relativeHeight="251667456" behindDoc="1" locked="0" layoutInCell="1" allowOverlap="1" wp14:anchorId="58D316D8" wp14:editId="12496AEB">
            <wp:simplePos x="0" y="0"/>
            <wp:positionH relativeFrom="margin">
              <wp:posOffset>1537335</wp:posOffset>
            </wp:positionH>
            <wp:positionV relativeFrom="page">
              <wp:posOffset>8001000</wp:posOffset>
            </wp:positionV>
            <wp:extent cx="3314700" cy="2086610"/>
            <wp:effectExtent l="0" t="0" r="0" b="8890"/>
            <wp:wrapTight wrapText="bothSides">
              <wp:wrapPolygon edited="0">
                <wp:start x="10303" y="0"/>
                <wp:lineTo x="8938" y="394"/>
                <wp:lineTo x="5710" y="2564"/>
                <wp:lineTo x="5710" y="3352"/>
                <wp:lineTo x="4966" y="4930"/>
                <wp:lineTo x="4345" y="6310"/>
                <wp:lineTo x="3724" y="9466"/>
                <wp:lineTo x="3848" y="12818"/>
                <wp:lineTo x="4593" y="15973"/>
                <wp:lineTo x="6331" y="19128"/>
                <wp:lineTo x="6455" y="19720"/>
                <wp:lineTo x="9434" y="21298"/>
                <wp:lineTo x="10428" y="21495"/>
                <wp:lineTo x="11048" y="21495"/>
                <wp:lineTo x="12041" y="21298"/>
                <wp:lineTo x="15021" y="19720"/>
                <wp:lineTo x="15145" y="19128"/>
                <wp:lineTo x="16883" y="15973"/>
                <wp:lineTo x="17628" y="12818"/>
                <wp:lineTo x="17752" y="9663"/>
                <wp:lineTo x="17255" y="6508"/>
                <wp:lineTo x="16262" y="4338"/>
                <wp:lineTo x="15766" y="3352"/>
                <wp:lineTo x="15890" y="2564"/>
                <wp:lineTo x="12538" y="394"/>
                <wp:lineTo x="11172" y="0"/>
                <wp:lineTo x="10303" y="0"/>
              </wp:wrapPolygon>
            </wp:wrapTight>
            <wp:docPr id="321251705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2086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70ED74" w14:textId="1CAADD4E" w:rsidR="007A1819" w:rsidRDefault="007A1819">
      <w:pPr>
        <w:jc w:val="center"/>
        <w:rPr>
          <w:rFonts w:ascii="Arial" w:eastAsia="Arial" w:hAnsi="Arial" w:cs="Arial"/>
          <w:sz w:val="20"/>
          <w:szCs w:val="20"/>
        </w:rPr>
      </w:pPr>
    </w:p>
    <w:p w14:paraId="6652719A" w14:textId="36864815" w:rsidR="007A1819" w:rsidRDefault="007A1819">
      <w:pPr>
        <w:jc w:val="center"/>
        <w:rPr>
          <w:rFonts w:ascii="Arial" w:eastAsia="Arial" w:hAnsi="Arial" w:cs="Arial"/>
          <w:sz w:val="20"/>
          <w:szCs w:val="20"/>
        </w:rPr>
      </w:pPr>
    </w:p>
    <w:p w14:paraId="03DD0188" w14:textId="0D9D5DD3" w:rsidR="007A1819" w:rsidRDefault="00BF51DA">
      <w:pPr>
        <w:ind w:left="720" w:hanging="720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66432" behindDoc="1" locked="0" layoutInCell="1" allowOverlap="1" wp14:anchorId="370DDC11" wp14:editId="2EE540EB">
            <wp:simplePos x="0" y="0"/>
            <wp:positionH relativeFrom="column">
              <wp:posOffset>4442460</wp:posOffset>
            </wp:positionH>
            <wp:positionV relativeFrom="page">
              <wp:posOffset>9439275</wp:posOffset>
            </wp:positionV>
            <wp:extent cx="1323340" cy="558165"/>
            <wp:effectExtent l="0" t="0" r="0" b="0"/>
            <wp:wrapTight wrapText="bothSides">
              <wp:wrapPolygon edited="0">
                <wp:start x="622" y="737"/>
                <wp:lineTo x="622" y="16956"/>
                <wp:lineTo x="1555" y="17693"/>
                <wp:lineTo x="6530" y="19167"/>
                <wp:lineTo x="17724" y="19167"/>
                <wp:lineTo x="18656" y="16956"/>
                <wp:lineTo x="18656" y="14744"/>
                <wp:lineTo x="17413" y="14007"/>
                <wp:lineTo x="20211" y="5898"/>
                <wp:lineTo x="20211" y="2212"/>
                <wp:lineTo x="17413" y="737"/>
                <wp:lineTo x="622" y="737"/>
              </wp:wrapPolygon>
            </wp:wrapTight>
            <wp:docPr id="1889156880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340" cy="558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687A">
        <w:rPr>
          <w:noProof/>
          <w:lang w:val="en-US"/>
        </w:rPr>
        <w:drawing>
          <wp:anchor distT="0" distB="0" distL="114300" distR="114300" simplePos="0" relativeHeight="251661312" behindDoc="0" locked="0" layoutInCell="1" hidden="0" allowOverlap="1" wp14:anchorId="7F95039B" wp14:editId="4FAFCD28">
            <wp:simplePos x="0" y="0"/>
            <wp:positionH relativeFrom="margin">
              <wp:posOffset>317500</wp:posOffset>
            </wp:positionH>
            <wp:positionV relativeFrom="bottomMargin">
              <wp:posOffset>-379729</wp:posOffset>
            </wp:positionV>
            <wp:extent cx="1197610" cy="543560"/>
            <wp:effectExtent l="0" t="0" r="0" b="0"/>
            <wp:wrapSquare wrapText="bothSides" distT="0" distB="0" distL="114300" distR="114300"/>
            <wp:docPr id="207158414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7610" cy="5435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7A1819">
      <w:footerReference w:type="default" r:id="rId15"/>
      <w:pgSz w:w="11906" w:h="16838"/>
      <w:pgMar w:top="1134" w:right="851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609829" w14:textId="77777777" w:rsidR="00A80EC6" w:rsidRDefault="00A80EC6">
      <w:r>
        <w:separator/>
      </w:r>
    </w:p>
  </w:endnote>
  <w:endnote w:type="continuationSeparator" w:id="0">
    <w:p w14:paraId="04EF5AAE" w14:textId="77777777" w:rsidR="00A80EC6" w:rsidRDefault="00A80E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751349AF-005D-4A38-97DD-0F42000A473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2" w:fontKey="{8BD755AD-BED7-46E7-9D16-CC2854C6272A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FD5898E7-3F65-4B23-89BB-010B828F821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  <w:embedBold r:id="rId4" w:fontKey="{BAFB8C31-C5DF-4C22-9AAA-FE0ED2ADACA9}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  <w:embedRegular r:id="rId5" w:fontKey="{68DB9657-6A51-4E2A-88A9-4E127B4BC43C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6" w:fontKey="{767C0103-00F8-4168-8641-322B42EAEDE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DA93324C-BF27-416E-9982-2346BAEDB54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3E96C" w14:textId="77777777" w:rsidR="00A04706" w:rsidRDefault="00A04706">
    <w:pPr>
      <w:pBdr>
        <w:top w:val="nil"/>
        <w:left w:val="nil"/>
        <w:bottom w:val="nil"/>
        <w:right w:val="nil"/>
        <w:between w:val="nil"/>
      </w:pBdr>
      <w:jc w:val="center"/>
      <w:rPr>
        <w:rFonts w:ascii="Arial Black" w:eastAsia="Arial Black" w:hAnsi="Arial Black" w:cs="Arial Black"/>
        <w:color w:val="000000"/>
        <w:sz w:val="20"/>
        <w:szCs w:val="20"/>
      </w:rPr>
    </w:pPr>
  </w:p>
  <w:p w14:paraId="447EB1AC" w14:textId="77777777" w:rsidR="00A04706" w:rsidRDefault="00A04706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  <w:r>
      <w:rPr>
        <w:rFonts w:ascii="Arial Black" w:eastAsia="Arial Black" w:hAnsi="Arial Black" w:cs="Arial Black"/>
        <w:color w:val="000000"/>
        <w:sz w:val="20"/>
        <w:szCs w:val="20"/>
      </w:rPr>
      <w:t xml:space="preserve">info@idesa.org - </w:t>
    </w:r>
    <w:hyperlink r:id="rId1">
      <w:r>
        <w:rPr>
          <w:rFonts w:ascii="Arial Black" w:eastAsia="Arial Black" w:hAnsi="Arial Black" w:cs="Arial Black"/>
          <w:color w:val="0000FF"/>
          <w:sz w:val="20"/>
          <w:szCs w:val="20"/>
          <w:u w:val="single"/>
        </w:rPr>
        <w:t>www.idesa.org</w:t>
      </w:r>
    </w:hyperlink>
    <w:r>
      <w:rPr>
        <w:rFonts w:ascii="Arial Black" w:eastAsia="Arial Black" w:hAnsi="Arial Black" w:cs="Arial Black"/>
        <w:color w:val="000000"/>
        <w:sz w:val="20"/>
        <w:szCs w:val="20"/>
      </w:rPr>
      <w:t xml:space="preserve"> – </w:t>
    </w:r>
    <w:r>
      <w:rPr>
        <w:rFonts w:ascii="Arial" w:eastAsia="Arial" w:hAnsi="Arial" w:cs="Arial"/>
        <w:color w:val="000000"/>
        <w:sz w:val="20"/>
        <w:szCs w:val="20"/>
      </w:rPr>
      <w:t xml:space="preserve">Tel. (54) - 11 - 4374 7660 </w:t>
    </w:r>
    <w:r>
      <w:rPr>
        <w:rFonts w:ascii="Arial" w:eastAsia="Arial" w:hAnsi="Arial" w:cs="Arial"/>
        <w:b/>
        <w:bCs/>
        <w:color w:val="000000"/>
        <w:sz w:val="28"/>
        <w:szCs w:val="28"/>
      </w:rPr>
      <w:t>/</w:t>
    </w:r>
    <w:r>
      <w:rPr>
        <w:rFonts w:ascii="Arial" w:eastAsia="Arial" w:hAnsi="Arial" w:cs="Arial"/>
        <w:color w:val="000000"/>
        <w:sz w:val="20"/>
        <w:szCs w:val="20"/>
      </w:rPr>
      <w:t xml:space="preserve"> (54) - 351 - 427 1271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08C57B" w14:textId="77777777" w:rsidR="00A80EC6" w:rsidRDefault="00A80EC6">
      <w:r>
        <w:separator/>
      </w:r>
    </w:p>
  </w:footnote>
  <w:footnote w:type="continuationSeparator" w:id="0">
    <w:p w14:paraId="18C94140" w14:textId="77777777" w:rsidR="00A80EC6" w:rsidRDefault="00A80E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E4FDA"/>
    <w:multiLevelType w:val="multilevel"/>
    <w:tmpl w:val="54F46B3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bullet"/>
      <w:lvlText w:val=""/>
      <w:lvlJc w:val="left"/>
      <w:pPr>
        <w:ind w:left="0" w:firstLine="0"/>
      </w:pPr>
      <w:rPr>
        <w:vertAlign w:val="baseline"/>
      </w:rPr>
    </w:lvl>
  </w:abstractNum>
  <w:num w:numId="1" w16cid:durableId="12632193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819"/>
    <w:rsid w:val="00030DEE"/>
    <w:rsid w:val="00041158"/>
    <w:rsid w:val="0004384A"/>
    <w:rsid w:val="00053FD8"/>
    <w:rsid w:val="00065793"/>
    <w:rsid w:val="000968B9"/>
    <w:rsid w:val="000B5758"/>
    <w:rsid w:val="000F0002"/>
    <w:rsid w:val="000F4D25"/>
    <w:rsid w:val="000F565F"/>
    <w:rsid w:val="001025B2"/>
    <w:rsid w:val="00123BBA"/>
    <w:rsid w:val="0013178F"/>
    <w:rsid w:val="0013552D"/>
    <w:rsid w:val="00186366"/>
    <w:rsid w:val="00193238"/>
    <w:rsid w:val="001A4478"/>
    <w:rsid w:val="001B52FD"/>
    <w:rsid w:val="001C34AC"/>
    <w:rsid w:val="002561BE"/>
    <w:rsid w:val="002823CF"/>
    <w:rsid w:val="002B7FE4"/>
    <w:rsid w:val="0034259D"/>
    <w:rsid w:val="0034695B"/>
    <w:rsid w:val="0036575E"/>
    <w:rsid w:val="003827D8"/>
    <w:rsid w:val="003B5DDF"/>
    <w:rsid w:val="003B6AB1"/>
    <w:rsid w:val="003D1186"/>
    <w:rsid w:val="003E6D9B"/>
    <w:rsid w:val="003F7D8F"/>
    <w:rsid w:val="0042154E"/>
    <w:rsid w:val="004666CE"/>
    <w:rsid w:val="004C5A62"/>
    <w:rsid w:val="004D5990"/>
    <w:rsid w:val="004D5E97"/>
    <w:rsid w:val="004D6851"/>
    <w:rsid w:val="004D6E66"/>
    <w:rsid w:val="004E3774"/>
    <w:rsid w:val="004E3A69"/>
    <w:rsid w:val="0052262E"/>
    <w:rsid w:val="005442C4"/>
    <w:rsid w:val="005A687A"/>
    <w:rsid w:val="005B3ED9"/>
    <w:rsid w:val="006033E8"/>
    <w:rsid w:val="00614BB9"/>
    <w:rsid w:val="0061676C"/>
    <w:rsid w:val="00617438"/>
    <w:rsid w:val="0062456C"/>
    <w:rsid w:val="006B6ED5"/>
    <w:rsid w:val="006C47DE"/>
    <w:rsid w:val="006E1A70"/>
    <w:rsid w:val="006F118F"/>
    <w:rsid w:val="006F1712"/>
    <w:rsid w:val="0070059D"/>
    <w:rsid w:val="00705DFF"/>
    <w:rsid w:val="00717637"/>
    <w:rsid w:val="00743ABC"/>
    <w:rsid w:val="007A1819"/>
    <w:rsid w:val="007C77AA"/>
    <w:rsid w:val="00812BBA"/>
    <w:rsid w:val="00815E47"/>
    <w:rsid w:val="00830670"/>
    <w:rsid w:val="008D48F0"/>
    <w:rsid w:val="00930F37"/>
    <w:rsid w:val="00943C8D"/>
    <w:rsid w:val="00952096"/>
    <w:rsid w:val="009A0067"/>
    <w:rsid w:val="009A272E"/>
    <w:rsid w:val="009C76A7"/>
    <w:rsid w:val="00A04706"/>
    <w:rsid w:val="00A0618E"/>
    <w:rsid w:val="00A43694"/>
    <w:rsid w:val="00A53076"/>
    <w:rsid w:val="00A53816"/>
    <w:rsid w:val="00A5752C"/>
    <w:rsid w:val="00A80EC6"/>
    <w:rsid w:val="00A90355"/>
    <w:rsid w:val="00AB66D8"/>
    <w:rsid w:val="00AC0482"/>
    <w:rsid w:val="00AC0F63"/>
    <w:rsid w:val="00AD5F41"/>
    <w:rsid w:val="00B31915"/>
    <w:rsid w:val="00B43558"/>
    <w:rsid w:val="00B5795D"/>
    <w:rsid w:val="00B637DC"/>
    <w:rsid w:val="00B91A77"/>
    <w:rsid w:val="00BD7880"/>
    <w:rsid w:val="00BF51DA"/>
    <w:rsid w:val="00CB6C28"/>
    <w:rsid w:val="00D75421"/>
    <w:rsid w:val="00DA3A38"/>
    <w:rsid w:val="00DC5447"/>
    <w:rsid w:val="00DC67D1"/>
    <w:rsid w:val="00DD15D7"/>
    <w:rsid w:val="00DD23AD"/>
    <w:rsid w:val="00DD7B4C"/>
    <w:rsid w:val="00DE024C"/>
    <w:rsid w:val="00DF066A"/>
    <w:rsid w:val="00E84458"/>
    <w:rsid w:val="00EE6C57"/>
    <w:rsid w:val="00EF23D2"/>
    <w:rsid w:val="00F35950"/>
    <w:rsid w:val="00F469C1"/>
    <w:rsid w:val="00F539E8"/>
    <w:rsid w:val="00F60676"/>
    <w:rsid w:val="00F6506D"/>
    <w:rsid w:val="00F75434"/>
    <w:rsid w:val="00F83C4E"/>
    <w:rsid w:val="00F84FF6"/>
    <w:rsid w:val="00F86A98"/>
    <w:rsid w:val="00FC6E59"/>
    <w:rsid w:val="00FD7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91EC31F"/>
  <w15:docId w15:val="{49C3A267-9ADB-47EB-940E-AF004482B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-A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E335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3358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0E4F43"/>
  </w:style>
  <w:style w:type="character" w:styleId="Refdecomentario">
    <w:name w:val="annotation reference"/>
    <w:basedOn w:val="Fuentedeprrafopredeter"/>
    <w:uiPriority w:val="99"/>
    <w:semiHidden/>
    <w:unhideWhenUsed/>
    <w:rsid w:val="00ED2E3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D2E3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D2E3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D2E3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D2E38"/>
    <w:rPr>
      <w:b/>
      <w:bCs/>
      <w:sz w:val="20"/>
      <w:szCs w:val="20"/>
    </w:rPr>
  </w:style>
  <w:style w:type="paragraph" w:styleId="Lista2">
    <w:name w:val="List 2"/>
    <w:basedOn w:val="Normal"/>
    <w:uiPriority w:val="99"/>
    <w:unhideWhenUsed/>
    <w:rsid w:val="00B90C39"/>
    <w:pPr>
      <w:ind w:left="566" w:hanging="283"/>
      <w:contextualSpacing/>
    </w:pPr>
  </w:style>
  <w:style w:type="paragraph" w:styleId="Saludo">
    <w:name w:val="Salutation"/>
    <w:basedOn w:val="Normal"/>
    <w:next w:val="Normal"/>
    <w:link w:val="SaludoCar"/>
    <w:uiPriority w:val="99"/>
    <w:unhideWhenUsed/>
    <w:rsid w:val="00B90C39"/>
  </w:style>
  <w:style w:type="character" w:customStyle="1" w:styleId="SaludoCar">
    <w:name w:val="Saludo Car"/>
    <w:basedOn w:val="Fuentedeprrafopredeter"/>
    <w:link w:val="Saludo"/>
    <w:uiPriority w:val="99"/>
    <w:rsid w:val="00B90C39"/>
  </w:style>
  <w:style w:type="paragraph" w:styleId="Fecha">
    <w:name w:val="Date"/>
    <w:basedOn w:val="Normal"/>
    <w:next w:val="Normal"/>
    <w:link w:val="FechaCar"/>
    <w:uiPriority w:val="99"/>
    <w:unhideWhenUsed/>
    <w:rsid w:val="00B90C39"/>
  </w:style>
  <w:style w:type="character" w:customStyle="1" w:styleId="FechaCar">
    <w:name w:val="Fecha Car"/>
    <w:basedOn w:val="Fuentedeprrafopredeter"/>
    <w:link w:val="Fecha"/>
    <w:uiPriority w:val="99"/>
    <w:rsid w:val="00B90C39"/>
  </w:style>
  <w:style w:type="paragraph" w:styleId="Textoindependiente">
    <w:name w:val="Body Text"/>
    <w:basedOn w:val="Normal"/>
    <w:link w:val="TextoindependienteCar"/>
    <w:uiPriority w:val="99"/>
    <w:unhideWhenUsed/>
    <w:rsid w:val="00B90C3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90C39"/>
  </w:style>
  <w:style w:type="paragraph" w:styleId="Encabezado">
    <w:name w:val="header"/>
    <w:basedOn w:val="Normal"/>
    <w:link w:val="Encabezado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7290"/>
  </w:style>
  <w:style w:type="paragraph" w:styleId="Piedepgina">
    <w:name w:val="footer"/>
    <w:basedOn w:val="Normal"/>
    <w:link w:val="Piedepgina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7290"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des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VOKPqlUk0kXkNzmpia0Rxb7Klg==">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</go:docsCustomData>
</go:gDocsCustomXmlDataStorage>
</file>

<file path=customXml/itemProps1.xml><?xml version="1.0" encoding="utf-8"?>
<ds:datastoreItem xmlns:ds="http://schemas.openxmlformats.org/officeDocument/2006/customXml" ds:itemID="{324B1589-3120-44F3-9CF2-B7AD0FA693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792</Words>
  <Characters>4130</Characters>
  <Application>Microsoft Office Word</Application>
  <DocSecurity>0</DocSecurity>
  <Lines>72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Jorge Colina</cp:lastModifiedBy>
  <cp:revision>9</cp:revision>
  <dcterms:created xsi:type="dcterms:W3CDTF">2025-12-07T15:31:00Z</dcterms:created>
  <dcterms:modified xsi:type="dcterms:W3CDTF">2025-12-07T16:08:00Z</dcterms:modified>
</cp:coreProperties>
</file>